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F21" w:rsidRDefault="00A26F21" w:rsidP="00A26F21">
      <w:pPr>
        <w:jc w:val="center"/>
        <w:rPr>
          <w:rFonts w:asciiTheme="majorHAnsi" w:hAnsiTheme="majorHAnsi"/>
          <w:b/>
          <w:sz w:val="48"/>
          <w:szCs w:val="48"/>
        </w:rPr>
      </w:pPr>
      <w:r w:rsidRPr="00350903">
        <w:rPr>
          <w:rFonts w:asciiTheme="majorHAnsi" w:hAnsiTheme="majorHAnsi"/>
          <w:b/>
          <w:sz w:val="48"/>
          <w:szCs w:val="48"/>
        </w:rPr>
        <w:t>Unit Plan Template (Part 1)</w:t>
      </w:r>
    </w:p>
    <w:p w:rsidR="00E939D4" w:rsidRDefault="00E939D4" w:rsidP="00A26F21">
      <w:pPr>
        <w:jc w:val="center"/>
        <w:rPr>
          <w:rFonts w:asciiTheme="majorHAnsi" w:hAnsiTheme="majorHAnsi"/>
          <w:b/>
          <w:sz w:val="20"/>
          <w:szCs w:val="20"/>
        </w:rPr>
      </w:pPr>
      <w:r>
        <w:rPr>
          <w:rFonts w:asciiTheme="majorHAnsi" w:hAnsiTheme="majorHAnsi"/>
          <w:b/>
          <w:sz w:val="20"/>
          <w:szCs w:val="20"/>
        </w:rPr>
        <w:t xml:space="preserve">Heather </w:t>
      </w:r>
      <w:proofErr w:type="spellStart"/>
      <w:r>
        <w:rPr>
          <w:rFonts w:asciiTheme="majorHAnsi" w:hAnsiTheme="majorHAnsi"/>
          <w:b/>
          <w:sz w:val="20"/>
          <w:szCs w:val="20"/>
        </w:rPr>
        <w:t>Bartos</w:t>
      </w:r>
      <w:proofErr w:type="spellEnd"/>
    </w:p>
    <w:p w:rsidR="00E939D4" w:rsidRPr="00E939D4" w:rsidRDefault="00E939D4" w:rsidP="00A26F21">
      <w:pPr>
        <w:jc w:val="center"/>
        <w:rPr>
          <w:rFonts w:asciiTheme="majorHAnsi" w:hAnsiTheme="majorHAnsi"/>
          <w:b/>
          <w:sz w:val="20"/>
          <w:szCs w:val="20"/>
        </w:rPr>
      </w:pPr>
      <w:r>
        <w:rPr>
          <w:rFonts w:asciiTheme="majorHAnsi" w:hAnsiTheme="majorHAnsi"/>
          <w:b/>
          <w:sz w:val="20"/>
          <w:szCs w:val="20"/>
        </w:rPr>
        <w:t>February 26, 2012</w:t>
      </w: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Part 1: Textbook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08"/>
        <w:gridCol w:w="4968"/>
      </w:tblGrid>
      <w:tr w:rsidR="00A26F21" w:rsidRPr="00350903" w:rsidTr="001331FB">
        <w:tc>
          <w:tcPr>
            <w:tcW w:w="820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Concept</w:t>
            </w:r>
          </w:p>
        </w:tc>
        <w:tc>
          <w:tcPr>
            <w:tcW w:w="496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Definitely, Maybe, or Don’t Include?</w:t>
            </w:r>
          </w:p>
        </w:tc>
      </w:tr>
      <w:tr w:rsidR="00A26F21" w:rsidRPr="00350903" w:rsidTr="001331FB">
        <w:tc>
          <w:tcPr>
            <w:tcW w:w="8208" w:type="dxa"/>
          </w:tcPr>
          <w:p w:rsidR="00A26F21" w:rsidRPr="00350903" w:rsidRDefault="00B17657" w:rsidP="001331FB">
            <w:pPr>
              <w:rPr>
                <w:rFonts w:asciiTheme="majorHAnsi" w:hAnsiTheme="majorHAnsi"/>
                <w:sz w:val="20"/>
                <w:szCs w:val="20"/>
              </w:rPr>
            </w:pPr>
            <w:r w:rsidRPr="00350903">
              <w:rPr>
                <w:rFonts w:asciiTheme="majorHAnsi" w:hAnsiTheme="majorHAnsi"/>
                <w:sz w:val="20"/>
                <w:szCs w:val="20"/>
              </w:rPr>
              <w:t>To understand the various relationships within the biosphere, ecologists ask questions about even</w:t>
            </w:r>
            <w:r w:rsidR="00350903" w:rsidRPr="00350903">
              <w:rPr>
                <w:rFonts w:asciiTheme="majorHAnsi" w:hAnsiTheme="majorHAnsi"/>
                <w:sz w:val="20"/>
                <w:szCs w:val="20"/>
              </w:rPr>
              <w:t>t</w:t>
            </w:r>
            <w:r w:rsidRPr="00350903">
              <w:rPr>
                <w:rFonts w:asciiTheme="majorHAnsi" w:hAnsiTheme="majorHAnsi"/>
                <w:sz w:val="20"/>
                <w:szCs w:val="20"/>
              </w:rPr>
              <w:t>s and organisms that range in complexity from a single individual to a population, community, ecosystem, biome, or to the entire biosphere</w:t>
            </w:r>
          </w:p>
        </w:tc>
        <w:tc>
          <w:tcPr>
            <w:tcW w:w="4968" w:type="dxa"/>
          </w:tcPr>
          <w:p w:rsidR="00A26F21"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A26F21"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Scientists conduct modern ecological research according to three basic approaches: observing, experiment, and modeling. All of these approaches rely on the application of scientific methods to guide ecological inquiry. </w:t>
            </w:r>
          </w:p>
        </w:tc>
        <w:tc>
          <w:tcPr>
            <w:tcW w:w="4968" w:type="dxa"/>
          </w:tcPr>
          <w:p w:rsidR="00A26F21" w:rsidRPr="00350903" w:rsidRDefault="00B17657" w:rsidP="001331FB">
            <w:pPr>
              <w:rPr>
                <w:rFonts w:asciiTheme="majorHAnsi" w:hAnsiTheme="majorHAnsi"/>
                <w:sz w:val="20"/>
                <w:szCs w:val="20"/>
              </w:rPr>
            </w:pPr>
            <w:r w:rsidRPr="00350903">
              <w:rPr>
                <w:rFonts w:asciiTheme="majorHAnsi" w:hAnsiTheme="majorHAnsi"/>
                <w:sz w:val="20"/>
                <w:szCs w:val="20"/>
              </w:rPr>
              <w:t>Don’t Include</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Sunlight is the main energy source for life on Earth. In a few ecosystems, some organisms rely on the energy stored in inorganic chemical compounds. </w:t>
            </w:r>
          </w:p>
        </w:tc>
        <w:tc>
          <w:tcPr>
            <w:tcW w:w="4968" w:type="dxa"/>
          </w:tcPr>
          <w:p w:rsidR="00B17657" w:rsidRPr="00350903" w:rsidRDefault="00AA3410" w:rsidP="001331FB">
            <w:pPr>
              <w:rPr>
                <w:rFonts w:asciiTheme="majorHAnsi" w:hAnsiTheme="majorHAnsi"/>
                <w:sz w:val="20"/>
                <w:szCs w:val="20"/>
              </w:rPr>
            </w:pPr>
            <w:r>
              <w:rPr>
                <w:rFonts w:asciiTheme="majorHAnsi" w:hAnsiTheme="majorHAnsi"/>
                <w:sz w:val="20"/>
                <w:szCs w:val="20"/>
              </w:rPr>
              <w:t>Maybe</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Energy flows through the ecosystem in one direction, from the sun or inorganic compounds to autotrophs (producers) and then to various heterotrophs (consumers).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Only about 10% of the energy available within one trophic level is transferred to organisms at the next tropic level.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B17657" w:rsidRPr="00350903" w:rsidTr="00B17657">
        <w:trPr>
          <w:trHeight w:val="368"/>
        </w:trPr>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Unlike the one-way flow of energy, matter is recycled within and between ecosystems.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Every living </w:t>
            </w:r>
            <w:proofErr w:type="gramStart"/>
            <w:r w:rsidRPr="00350903">
              <w:rPr>
                <w:rFonts w:asciiTheme="majorHAnsi" w:hAnsiTheme="majorHAnsi"/>
                <w:sz w:val="20"/>
                <w:szCs w:val="20"/>
              </w:rPr>
              <w:t>organisms</w:t>
            </w:r>
            <w:proofErr w:type="gramEnd"/>
            <w:r w:rsidRPr="00350903">
              <w:rPr>
                <w:rFonts w:asciiTheme="majorHAnsi" w:hAnsiTheme="majorHAnsi"/>
                <w:sz w:val="20"/>
                <w:szCs w:val="20"/>
              </w:rPr>
              <w:t xml:space="preserve"> need nutrients to grow and carry out essential life functions. Like water, nutrients are passed between organisms and the environment through biogeochemical cycles.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Part 2: Illinois Learning Standards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590"/>
        <w:gridCol w:w="4158"/>
      </w:tblGrid>
      <w:tr w:rsidR="00A26F21" w:rsidRPr="00350903" w:rsidTr="001331FB">
        <w:tc>
          <w:tcPr>
            <w:tcW w:w="442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Concept</w:t>
            </w:r>
          </w:p>
        </w:tc>
        <w:tc>
          <w:tcPr>
            <w:tcW w:w="4590"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Descriptor</w:t>
            </w:r>
          </w:p>
        </w:tc>
        <w:tc>
          <w:tcPr>
            <w:tcW w:w="4158" w:type="dxa"/>
          </w:tcPr>
          <w:p w:rsidR="00A26F21" w:rsidRPr="00350903" w:rsidRDefault="00A26F21" w:rsidP="001331FB">
            <w:pPr>
              <w:jc w:val="center"/>
              <w:rPr>
                <w:rFonts w:asciiTheme="majorHAnsi" w:hAnsiTheme="majorHAnsi"/>
                <w:sz w:val="28"/>
                <w:szCs w:val="28"/>
              </w:rPr>
            </w:pPr>
            <w:r w:rsidRPr="00350903">
              <w:rPr>
                <w:rFonts w:asciiTheme="majorHAnsi" w:hAnsiTheme="majorHAnsi"/>
                <w:sz w:val="28"/>
                <w:szCs w:val="28"/>
              </w:rPr>
              <w:t>Definitely, Maybe, or Don’t Include?</w:t>
            </w:r>
          </w:p>
        </w:tc>
      </w:tr>
      <w:tr w:rsidR="00126770" w:rsidRPr="00350903" w:rsidTr="001331FB">
        <w:tc>
          <w:tcPr>
            <w:tcW w:w="4428" w:type="dxa"/>
          </w:tcPr>
          <w:p w:rsidR="00126770" w:rsidRPr="00350903" w:rsidRDefault="00126770" w:rsidP="001331FB">
            <w:pPr>
              <w:rPr>
                <w:rFonts w:asciiTheme="majorHAnsi" w:hAnsiTheme="majorHAnsi"/>
                <w:sz w:val="20"/>
                <w:szCs w:val="20"/>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sz w:val="20"/>
                <w:szCs w:val="20"/>
              </w:rPr>
            </w:pPr>
            <w:r w:rsidRPr="00350903">
              <w:rPr>
                <w:rFonts w:asciiTheme="majorHAnsi" w:hAnsiTheme="majorHAnsi" w:cs="Arial"/>
                <w:sz w:val="20"/>
                <w:szCs w:val="20"/>
              </w:rPr>
              <w:t>Compare physical, ecological and behavioral factors that influence interactions and interdependence of organisms.</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t>Definitely</w:t>
            </w:r>
          </w:p>
        </w:tc>
      </w:tr>
      <w:tr w:rsidR="00126770" w:rsidRPr="00350903" w:rsidTr="001331FB">
        <w:tc>
          <w:tcPr>
            <w:tcW w:w="4428" w:type="dxa"/>
          </w:tcPr>
          <w:p w:rsidR="00126770" w:rsidRPr="00350903" w:rsidRDefault="00126770" w:rsidP="001331FB">
            <w:pPr>
              <w:rPr>
                <w:rFonts w:asciiTheme="majorHAnsi" w:hAnsiTheme="majorHAnsi"/>
                <w:sz w:val="20"/>
                <w:szCs w:val="20"/>
              </w:rPr>
            </w:pPr>
            <w:r w:rsidRPr="00350903">
              <w:rPr>
                <w:rFonts w:asciiTheme="majorHAnsi" w:hAnsiTheme="majorHAnsi" w:cs="Arial"/>
                <w:b/>
                <w:sz w:val="20"/>
                <w:szCs w:val="20"/>
              </w:rPr>
              <w:t>12.B.4b</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sz w:val="20"/>
                <w:szCs w:val="20"/>
              </w:rPr>
            </w:pPr>
            <w:r w:rsidRPr="00350903">
              <w:rPr>
                <w:rFonts w:asciiTheme="majorHAnsi" w:hAnsiTheme="majorHAnsi" w:cs="Arial"/>
                <w:sz w:val="20"/>
                <w:szCs w:val="20"/>
              </w:rPr>
              <w:t xml:space="preserve">Simulate and analyze factors that influence the size </w:t>
            </w:r>
            <w:r w:rsidRPr="00350903">
              <w:rPr>
                <w:rFonts w:asciiTheme="majorHAnsi" w:hAnsiTheme="majorHAnsi" w:cs="Arial"/>
                <w:sz w:val="20"/>
                <w:szCs w:val="20"/>
              </w:rPr>
              <w:lastRenderedPageBreak/>
              <w:t>and stability of populations within ecosystems (e.g., birth rate, death rate, predation, migration patterns).</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lastRenderedPageBreak/>
              <w:t>Don’t include</w:t>
            </w:r>
          </w:p>
        </w:tc>
      </w:tr>
      <w:tr w:rsidR="00126770" w:rsidRPr="00350903" w:rsidTr="001331FB">
        <w:tc>
          <w:tcPr>
            <w:tcW w:w="4428" w:type="dxa"/>
          </w:tcPr>
          <w:p w:rsidR="00126770" w:rsidRPr="00350903" w:rsidRDefault="00126770" w:rsidP="001331FB">
            <w:pPr>
              <w:rPr>
                <w:rFonts w:asciiTheme="majorHAnsi" w:hAnsiTheme="majorHAnsi" w:cs="Arial"/>
                <w:b/>
                <w:sz w:val="20"/>
                <w:szCs w:val="20"/>
              </w:rPr>
            </w:pPr>
            <w:r w:rsidRPr="00350903">
              <w:rPr>
                <w:rFonts w:asciiTheme="majorHAnsi" w:hAnsiTheme="majorHAnsi" w:cs="Arial"/>
                <w:b/>
                <w:sz w:val="20"/>
                <w:szCs w:val="20"/>
              </w:rPr>
              <w:lastRenderedPageBreak/>
              <w:t>12.B.3a</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cs="Arial"/>
                <w:sz w:val="20"/>
                <w:szCs w:val="20"/>
              </w:rPr>
            </w:pPr>
            <w:r w:rsidRPr="00350903">
              <w:rPr>
                <w:rFonts w:asciiTheme="majorHAnsi" w:hAnsiTheme="majorHAnsi" w:cs="Arial"/>
                <w:sz w:val="20"/>
                <w:szCs w:val="20"/>
              </w:rPr>
              <w:t xml:space="preserve">Identify and classify biotic and </w:t>
            </w:r>
            <w:proofErr w:type="spellStart"/>
            <w:r w:rsidRPr="00350903">
              <w:rPr>
                <w:rFonts w:asciiTheme="majorHAnsi" w:hAnsiTheme="majorHAnsi" w:cs="Arial"/>
                <w:sz w:val="20"/>
                <w:szCs w:val="20"/>
              </w:rPr>
              <w:t>abiotic</w:t>
            </w:r>
            <w:proofErr w:type="spellEnd"/>
            <w:r w:rsidRPr="00350903">
              <w:rPr>
                <w:rFonts w:asciiTheme="majorHAnsi" w:hAnsiTheme="majorHAnsi" w:cs="Arial"/>
                <w:sz w:val="20"/>
                <w:szCs w:val="20"/>
              </w:rPr>
              <w:t xml:space="preserve"> factors in an environment that affect population density, habitat and placement of organisms in an energy pyramid.</w:t>
            </w:r>
          </w:p>
        </w:tc>
        <w:tc>
          <w:tcPr>
            <w:tcW w:w="4158" w:type="dxa"/>
          </w:tcPr>
          <w:p w:rsidR="00126770" w:rsidRPr="00350903" w:rsidRDefault="00AA3410" w:rsidP="001331FB">
            <w:pPr>
              <w:jc w:val="center"/>
              <w:rPr>
                <w:rFonts w:asciiTheme="majorHAnsi" w:hAnsiTheme="majorHAnsi"/>
                <w:sz w:val="20"/>
                <w:szCs w:val="20"/>
              </w:rPr>
            </w:pPr>
            <w:r>
              <w:rPr>
                <w:rFonts w:asciiTheme="majorHAnsi" w:hAnsiTheme="majorHAnsi"/>
                <w:sz w:val="20"/>
                <w:szCs w:val="20"/>
              </w:rPr>
              <w:t>Maybe</w:t>
            </w:r>
          </w:p>
        </w:tc>
      </w:tr>
      <w:tr w:rsidR="00126770" w:rsidRPr="00350903" w:rsidTr="001331FB">
        <w:tc>
          <w:tcPr>
            <w:tcW w:w="4428" w:type="dxa"/>
          </w:tcPr>
          <w:p w:rsidR="00126770" w:rsidRPr="00350903" w:rsidRDefault="00126770" w:rsidP="001331FB">
            <w:pPr>
              <w:rPr>
                <w:rFonts w:asciiTheme="majorHAnsi" w:hAnsiTheme="majorHAnsi" w:cs="Arial"/>
                <w:b/>
                <w:sz w:val="20"/>
                <w:szCs w:val="20"/>
              </w:rPr>
            </w:pPr>
            <w:r w:rsidRPr="00350903">
              <w:rPr>
                <w:rFonts w:asciiTheme="majorHAnsi" w:hAnsiTheme="majorHAnsi" w:cs="Arial"/>
                <w:b/>
                <w:sz w:val="20"/>
                <w:szCs w:val="20"/>
              </w:rPr>
              <w:t>12.B.3b</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cs="Arial"/>
                <w:sz w:val="20"/>
                <w:szCs w:val="20"/>
              </w:rPr>
            </w:pPr>
            <w:r w:rsidRPr="00350903">
              <w:rPr>
                <w:rFonts w:asciiTheme="majorHAnsi" w:hAnsiTheme="majorHAnsi" w:cs="Arial"/>
                <w:sz w:val="20"/>
                <w:szCs w:val="20"/>
              </w:rPr>
              <w:t xml:space="preserve">Compare and assess features of organisms for their adaptive, competitive and survival potential (e.g., appendages, reproductive rates, camouflage, </w:t>
            </w:r>
            <w:proofErr w:type="gramStart"/>
            <w:r w:rsidRPr="00350903">
              <w:rPr>
                <w:rFonts w:asciiTheme="majorHAnsi" w:hAnsiTheme="majorHAnsi" w:cs="Arial"/>
                <w:sz w:val="20"/>
                <w:szCs w:val="20"/>
              </w:rPr>
              <w:t>defensive</w:t>
            </w:r>
            <w:proofErr w:type="gramEnd"/>
            <w:r w:rsidRPr="00350903">
              <w:rPr>
                <w:rFonts w:asciiTheme="majorHAnsi" w:hAnsiTheme="majorHAnsi" w:cs="Arial"/>
                <w:sz w:val="20"/>
                <w:szCs w:val="20"/>
              </w:rPr>
              <w:t xml:space="preserve"> structures).</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t>Don’t include</w:t>
            </w:r>
          </w:p>
        </w:tc>
      </w:tr>
      <w:tr w:rsidR="00126770" w:rsidRPr="00350903" w:rsidTr="005F6BB9">
        <w:trPr>
          <w:trHeight w:val="908"/>
        </w:trPr>
        <w:tc>
          <w:tcPr>
            <w:tcW w:w="4428" w:type="dxa"/>
          </w:tcPr>
          <w:p w:rsidR="00126770" w:rsidRPr="00350903" w:rsidRDefault="00126770" w:rsidP="001331FB">
            <w:pPr>
              <w:rPr>
                <w:rFonts w:asciiTheme="majorHAnsi" w:hAnsiTheme="majorHAnsi" w:cs="Arial"/>
                <w:b/>
                <w:sz w:val="20"/>
                <w:szCs w:val="20"/>
              </w:rPr>
            </w:pP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c>
          <w:tcPr>
            <w:tcW w:w="4590" w:type="dxa"/>
          </w:tcPr>
          <w:p w:rsidR="00126770" w:rsidRPr="0069721D" w:rsidRDefault="00126770" w:rsidP="001331FB">
            <w:pPr>
              <w:rPr>
                <w:rFonts w:asciiTheme="majorHAnsi" w:hAnsiTheme="majorHAnsi" w:cs="Arial"/>
                <w:sz w:val="20"/>
                <w:szCs w:val="20"/>
              </w:rPr>
            </w:pPr>
            <w:r w:rsidRPr="0069721D">
              <w:rPr>
                <w:rFonts w:asciiTheme="majorHAnsi" w:hAnsiTheme="majorHAnsi" w:cs="Arial"/>
                <w:sz w:val="20"/>
                <w:szCs w:val="20"/>
              </w:rPr>
              <w:t>Explain interactions of energy with matter including changes of state and con</w:t>
            </w:r>
            <w:r w:rsidRPr="0069721D">
              <w:rPr>
                <w:rFonts w:asciiTheme="majorHAnsi" w:hAnsiTheme="majorHAnsi" w:cs="Arial"/>
                <w:sz w:val="20"/>
                <w:szCs w:val="20"/>
              </w:rPr>
              <w:softHyphen/>
              <w:t>servation of mass and energy.</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t>Definitely</w:t>
            </w:r>
          </w:p>
        </w:tc>
      </w:tr>
      <w:tr w:rsidR="0069721D" w:rsidRPr="00350903" w:rsidTr="005F6BB9">
        <w:trPr>
          <w:trHeight w:val="908"/>
        </w:trPr>
        <w:tc>
          <w:tcPr>
            <w:tcW w:w="4428" w:type="dxa"/>
          </w:tcPr>
          <w:p w:rsidR="0069721D" w:rsidRPr="00350903" w:rsidRDefault="0069721D" w:rsidP="001331FB">
            <w:pPr>
              <w:rPr>
                <w:rFonts w:asciiTheme="majorHAnsi" w:hAnsiTheme="majorHAnsi" w:cs="Arial"/>
                <w:b/>
                <w:sz w:val="20"/>
                <w:szCs w:val="20"/>
              </w:rPr>
            </w:pPr>
            <w:r w:rsidRPr="0069721D">
              <w:rPr>
                <w:rFonts w:asciiTheme="majorHAnsi" w:hAnsiTheme="majorHAnsi" w:cs="Arial"/>
                <w:b/>
                <w:sz w:val="20"/>
                <w:szCs w:val="20"/>
              </w:rPr>
              <w:t>13.A.3c</w:t>
            </w:r>
            <w:r w:rsidRPr="0069721D">
              <w:rPr>
                <w:rFonts w:asciiTheme="majorHAnsi" w:hAnsiTheme="majorHAnsi" w:cs="Arial"/>
                <w:sz w:val="20"/>
                <w:szCs w:val="20"/>
              </w:rPr>
              <w:t xml:space="preserve">  </w:t>
            </w:r>
          </w:p>
        </w:tc>
        <w:tc>
          <w:tcPr>
            <w:tcW w:w="4590" w:type="dxa"/>
          </w:tcPr>
          <w:p w:rsidR="0069721D" w:rsidRPr="0069721D" w:rsidRDefault="0069721D" w:rsidP="001331FB">
            <w:pPr>
              <w:rPr>
                <w:rFonts w:asciiTheme="majorHAnsi" w:hAnsiTheme="majorHAnsi" w:cs="Arial"/>
                <w:sz w:val="20"/>
                <w:szCs w:val="20"/>
              </w:rPr>
            </w:pPr>
            <w:r w:rsidRPr="0069721D">
              <w:rPr>
                <w:rFonts w:asciiTheme="majorHAnsi" w:hAnsiTheme="majorHAnsi" w:cs="Arial"/>
                <w:sz w:val="20"/>
                <w:szCs w:val="20"/>
              </w:rPr>
              <w:t>Explain what is similar and different about observational and experimental investigations.</w:t>
            </w:r>
          </w:p>
        </w:tc>
        <w:tc>
          <w:tcPr>
            <w:tcW w:w="4158" w:type="dxa"/>
          </w:tcPr>
          <w:p w:rsidR="0069721D" w:rsidRPr="00350903" w:rsidRDefault="0069721D" w:rsidP="001331FB">
            <w:pPr>
              <w:jc w:val="center"/>
              <w:rPr>
                <w:rFonts w:asciiTheme="majorHAnsi" w:hAnsiTheme="majorHAnsi"/>
                <w:sz w:val="20"/>
                <w:szCs w:val="20"/>
              </w:rPr>
            </w:pPr>
            <w:r>
              <w:rPr>
                <w:rFonts w:asciiTheme="majorHAnsi" w:hAnsiTheme="majorHAnsi"/>
                <w:sz w:val="20"/>
                <w:szCs w:val="20"/>
              </w:rPr>
              <w:t>Don’t include</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 xml:space="preserve"> Use the table below to complete part 3 of your Unit Plan Assignment</w:t>
      </w:r>
    </w:p>
    <w:p w:rsidR="00B17657" w:rsidRPr="00350903" w:rsidRDefault="00B17657"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58"/>
        <w:gridCol w:w="3780"/>
        <w:gridCol w:w="3042"/>
        <w:gridCol w:w="2196"/>
      </w:tblGrid>
      <w:tr w:rsidR="00A26F21" w:rsidRPr="00350903" w:rsidTr="001331FB">
        <w:tc>
          <w:tcPr>
            <w:tcW w:w="415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Concept</w:t>
            </w:r>
          </w:p>
        </w:tc>
        <w:tc>
          <w:tcPr>
            <w:tcW w:w="3780"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This Unit, Another Unit, or Leave Out?</w:t>
            </w:r>
          </w:p>
        </w:tc>
        <w:tc>
          <w:tcPr>
            <w:tcW w:w="3042"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Rationale</w:t>
            </w:r>
          </w:p>
        </w:tc>
        <w:tc>
          <w:tcPr>
            <w:tcW w:w="2196"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Related ILS</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To understand the various relationships within the biosphere, ecologists ask questions about even</w:t>
            </w:r>
            <w:r w:rsidR="00350903">
              <w:rPr>
                <w:rFonts w:asciiTheme="majorHAnsi" w:hAnsiTheme="majorHAnsi"/>
                <w:sz w:val="20"/>
                <w:szCs w:val="20"/>
              </w:rPr>
              <w:t>t</w:t>
            </w:r>
            <w:r w:rsidRPr="00350903">
              <w:rPr>
                <w:rFonts w:asciiTheme="majorHAnsi" w:hAnsiTheme="majorHAnsi"/>
                <w:sz w:val="20"/>
                <w:szCs w:val="20"/>
              </w:rPr>
              <w:t>s and organisms that range in complexity from a single individual to a population, community, ecosystem, biome, or to the entire biosphere</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350903" w:rsidRDefault="00350903" w:rsidP="00350903">
            <w:pPr>
              <w:rPr>
                <w:rFonts w:asciiTheme="majorHAnsi" w:hAnsiTheme="majorHAnsi"/>
                <w:sz w:val="20"/>
                <w:szCs w:val="20"/>
              </w:rPr>
            </w:pPr>
            <w:r>
              <w:rPr>
                <w:rFonts w:asciiTheme="majorHAnsi" w:hAnsiTheme="majorHAnsi"/>
                <w:sz w:val="20"/>
                <w:szCs w:val="20"/>
              </w:rPr>
              <w:t xml:space="preserve">Understand the complexity of interactions between organisms and their biotic and </w:t>
            </w:r>
            <w:proofErr w:type="spellStart"/>
            <w:r>
              <w:rPr>
                <w:rFonts w:asciiTheme="majorHAnsi" w:hAnsiTheme="majorHAnsi"/>
                <w:sz w:val="20"/>
                <w:szCs w:val="20"/>
              </w:rPr>
              <w:t>abiotic</w:t>
            </w:r>
            <w:proofErr w:type="spellEnd"/>
            <w:r>
              <w:rPr>
                <w:rFonts w:asciiTheme="majorHAnsi" w:hAnsiTheme="majorHAnsi"/>
                <w:sz w:val="20"/>
                <w:szCs w:val="20"/>
              </w:rPr>
              <w:t xml:space="preserve"> factors in the biosphere factors can be overwhelming. Grouping and structurally organizing these interactions into levels will help students to understand the significance of the biosphere.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12.B.3a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lastRenderedPageBreak/>
              <w:t xml:space="preserve">Scientists conduct modern ecological research according to three basic approaches: observing, experiment, and modeling. All of these approaches rely on the application of scientific methods to guide ecological inquiry.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Another Unit</w:t>
            </w:r>
          </w:p>
        </w:tc>
        <w:tc>
          <w:tcPr>
            <w:tcW w:w="3042" w:type="dxa"/>
          </w:tcPr>
          <w:p w:rsidR="00124BC5" w:rsidRPr="00396A0E" w:rsidRDefault="00396A0E" w:rsidP="004B39B7">
            <w:pPr>
              <w:rPr>
                <w:rFonts w:asciiTheme="majorHAnsi" w:hAnsiTheme="majorHAnsi"/>
                <w:sz w:val="20"/>
                <w:szCs w:val="20"/>
              </w:rPr>
            </w:pPr>
            <w:r>
              <w:rPr>
                <w:rFonts w:asciiTheme="majorHAnsi" w:hAnsiTheme="majorHAnsi"/>
                <w:sz w:val="20"/>
                <w:szCs w:val="20"/>
              </w:rPr>
              <w:t xml:space="preserve">I do not feel that observing, experimenting, and </w:t>
            </w:r>
            <w:proofErr w:type="gramStart"/>
            <w:r>
              <w:rPr>
                <w:rFonts w:asciiTheme="majorHAnsi" w:hAnsiTheme="majorHAnsi"/>
                <w:sz w:val="20"/>
                <w:szCs w:val="20"/>
              </w:rPr>
              <w:t>modeling are</w:t>
            </w:r>
            <w:proofErr w:type="gramEnd"/>
            <w:r>
              <w:rPr>
                <w:rFonts w:asciiTheme="majorHAnsi" w:hAnsiTheme="majorHAnsi"/>
                <w:sz w:val="20"/>
                <w:szCs w:val="20"/>
              </w:rPr>
              <w:t xml:space="preserve"> specific to ecology research; </w:t>
            </w:r>
            <w:r w:rsidR="004B39B7">
              <w:rPr>
                <w:rFonts w:asciiTheme="majorHAnsi" w:hAnsiTheme="majorHAnsi"/>
                <w:sz w:val="20"/>
                <w:szCs w:val="20"/>
              </w:rPr>
              <w:t xml:space="preserve">these approaches are relevant in nearly all aspects of science. Therefore, I feel that this would fit better in an opening uniting cover the fundamental principles of science. </w:t>
            </w:r>
          </w:p>
        </w:tc>
        <w:tc>
          <w:tcPr>
            <w:tcW w:w="2196" w:type="dxa"/>
          </w:tcPr>
          <w:p w:rsidR="00124BC5" w:rsidRPr="00350903" w:rsidRDefault="0069721D" w:rsidP="001331FB">
            <w:pPr>
              <w:rPr>
                <w:rFonts w:asciiTheme="majorHAnsi" w:hAnsiTheme="majorHAnsi"/>
                <w:sz w:val="20"/>
                <w:szCs w:val="20"/>
              </w:rPr>
            </w:pPr>
            <w:r w:rsidRPr="0069721D">
              <w:rPr>
                <w:rFonts w:asciiTheme="majorHAnsi" w:hAnsiTheme="majorHAnsi" w:cs="Arial"/>
                <w:b/>
                <w:sz w:val="20"/>
                <w:szCs w:val="20"/>
              </w:rPr>
              <w:t>13.A.3c</w:t>
            </w:r>
            <w:r w:rsidRPr="0069721D">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Sunlight is the main energy source for life on Earth. In a few ecosystems, some organisms rely on the energy stored in inorganic chemical compounds. </w:t>
            </w:r>
          </w:p>
        </w:tc>
        <w:tc>
          <w:tcPr>
            <w:tcW w:w="3780" w:type="dxa"/>
          </w:tcPr>
          <w:p w:rsidR="00124BC5" w:rsidRPr="00350903" w:rsidRDefault="00AA3410" w:rsidP="001331FB">
            <w:pPr>
              <w:rPr>
                <w:rFonts w:asciiTheme="majorHAnsi" w:hAnsiTheme="majorHAnsi"/>
                <w:sz w:val="20"/>
                <w:szCs w:val="20"/>
              </w:rPr>
            </w:pPr>
            <w:r>
              <w:rPr>
                <w:rFonts w:asciiTheme="majorHAnsi" w:hAnsiTheme="majorHAnsi"/>
                <w:sz w:val="20"/>
                <w:szCs w:val="20"/>
              </w:rPr>
              <w:t>Another unit</w:t>
            </w:r>
          </w:p>
        </w:tc>
        <w:tc>
          <w:tcPr>
            <w:tcW w:w="3042" w:type="dxa"/>
          </w:tcPr>
          <w:p w:rsidR="00124BC5" w:rsidRPr="00995B06" w:rsidRDefault="00AA3410" w:rsidP="00AA3410">
            <w:pPr>
              <w:rPr>
                <w:rFonts w:asciiTheme="majorHAnsi" w:hAnsiTheme="majorHAnsi"/>
                <w:sz w:val="20"/>
                <w:szCs w:val="20"/>
              </w:rPr>
            </w:pPr>
            <w:r>
              <w:rPr>
                <w:rFonts w:asciiTheme="majorHAnsi" w:hAnsiTheme="majorHAnsi"/>
                <w:sz w:val="20"/>
                <w:szCs w:val="20"/>
              </w:rPr>
              <w:t xml:space="preserve">I feel that this concept is vital to understand biology- so crucial in fact, that I believe it should be moved to an earlier unit. More specifically, I feel that this concept would be more appropriate for a unit on plants and photosynthesis.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Energy flows through the ecosystem in one direction, from the sun or inorganic compounds to autotrophs (producers) and then to various heterotrophs (consumers).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995B06" w:rsidRDefault="00995B06" w:rsidP="00995B06">
            <w:pPr>
              <w:rPr>
                <w:rFonts w:asciiTheme="majorHAnsi" w:hAnsiTheme="majorHAnsi"/>
                <w:sz w:val="20"/>
                <w:szCs w:val="20"/>
              </w:rPr>
            </w:pPr>
            <w:r>
              <w:rPr>
                <w:rFonts w:asciiTheme="majorHAnsi" w:hAnsiTheme="majorHAnsi"/>
                <w:sz w:val="20"/>
                <w:szCs w:val="20"/>
              </w:rPr>
              <w:t xml:space="preserve">Once students understand the source of energy, they need to learn how this energy is converted for practical use. By introducing the idea of autotrophs and heterotrophs, students can begin to build a connection between energy and living things. </w:t>
            </w:r>
          </w:p>
        </w:tc>
        <w:tc>
          <w:tcPr>
            <w:tcW w:w="2196" w:type="dxa"/>
          </w:tcPr>
          <w:p w:rsidR="00124BC5" w:rsidRPr="00350903" w:rsidRDefault="00124BC5" w:rsidP="00124BC5">
            <w:pPr>
              <w:rPr>
                <w:rFonts w:asciiTheme="majorHAnsi" w:hAnsiTheme="majorHAnsi"/>
                <w:sz w:val="32"/>
                <w:szCs w:val="32"/>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12.B.3a</w:t>
            </w:r>
            <w:r w:rsidRPr="00350903">
              <w:rPr>
                <w:rFonts w:asciiTheme="majorHAnsi" w:hAnsiTheme="majorHAnsi" w:cs="Arial"/>
                <w:sz w:val="20"/>
                <w:szCs w:val="20"/>
              </w:rPr>
              <w:t xml:space="preserve"> , </w:t>
            </w:r>
            <w:r w:rsidRPr="00350903">
              <w:rPr>
                <w:rFonts w:asciiTheme="majorHAnsi" w:hAnsiTheme="majorHAnsi" w:cs="Arial"/>
                <w:b/>
                <w:sz w:val="20"/>
                <w:szCs w:val="20"/>
              </w:rPr>
              <w:t>12.C.3a</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Only about 10% of the energy available within one trophic level is transferred to organisms at the next tropic level.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995B06" w:rsidRDefault="00995B06" w:rsidP="00995B06">
            <w:pPr>
              <w:rPr>
                <w:rFonts w:asciiTheme="majorHAnsi" w:hAnsiTheme="majorHAnsi"/>
                <w:sz w:val="20"/>
                <w:szCs w:val="20"/>
              </w:rPr>
            </w:pPr>
            <w:r>
              <w:rPr>
                <w:rFonts w:asciiTheme="majorHAnsi" w:hAnsiTheme="majorHAnsi"/>
                <w:sz w:val="20"/>
                <w:szCs w:val="20"/>
              </w:rPr>
              <w:t xml:space="preserve">After students understand the relationship between energy and living organisms, they need to understand how the energy flows. This concept builds upon the </w:t>
            </w:r>
            <w:proofErr w:type="gramStart"/>
            <w:r>
              <w:rPr>
                <w:rFonts w:asciiTheme="majorHAnsi" w:hAnsiTheme="majorHAnsi"/>
                <w:sz w:val="20"/>
                <w:szCs w:val="20"/>
              </w:rPr>
              <w:t>other’s</w:t>
            </w:r>
            <w:proofErr w:type="gramEnd"/>
            <w:r>
              <w:rPr>
                <w:rFonts w:asciiTheme="majorHAnsi" w:hAnsiTheme="majorHAnsi"/>
                <w:sz w:val="20"/>
                <w:szCs w:val="20"/>
              </w:rPr>
              <w:t xml:space="preserve"> and is therefore mentioned last in the energy section.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12.C.3a</w:t>
            </w:r>
            <w:r w:rsidRPr="00350903">
              <w:rPr>
                <w:rFonts w:asciiTheme="majorHAnsi" w:hAnsiTheme="majorHAnsi" w:cs="Arial"/>
                <w:sz w:val="20"/>
                <w:szCs w:val="20"/>
              </w:rPr>
              <w:t xml:space="preserve">, </w:t>
            </w: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12.B.3a</w:t>
            </w:r>
            <w:r w:rsidRPr="00350903">
              <w:rPr>
                <w:rFonts w:asciiTheme="majorHAnsi" w:hAnsiTheme="majorHAnsi" w:cs="Arial"/>
                <w:sz w:val="20"/>
                <w:szCs w:val="20"/>
              </w:rPr>
              <w:t xml:space="preserve">,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Unlike the one-way flow of energy, matter is recycled within and between ecosystems.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This unit </w:t>
            </w:r>
          </w:p>
        </w:tc>
        <w:tc>
          <w:tcPr>
            <w:tcW w:w="3042" w:type="dxa"/>
          </w:tcPr>
          <w:p w:rsidR="00124BC5" w:rsidRPr="00995B06" w:rsidRDefault="00995B06" w:rsidP="001331FB">
            <w:pPr>
              <w:rPr>
                <w:rFonts w:asciiTheme="majorHAnsi" w:hAnsiTheme="majorHAnsi"/>
                <w:sz w:val="20"/>
                <w:szCs w:val="20"/>
              </w:rPr>
            </w:pPr>
            <w:r>
              <w:rPr>
                <w:rFonts w:asciiTheme="majorHAnsi" w:hAnsiTheme="majorHAnsi"/>
                <w:sz w:val="20"/>
                <w:szCs w:val="20"/>
              </w:rPr>
              <w:t xml:space="preserve">I feel that the placement for this concept is a great because it </w:t>
            </w:r>
            <w:r>
              <w:rPr>
                <w:rFonts w:asciiTheme="majorHAnsi" w:hAnsiTheme="majorHAnsi"/>
                <w:sz w:val="20"/>
                <w:szCs w:val="20"/>
              </w:rPr>
              <w:lastRenderedPageBreak/>
              <w:t xml:space="preserve">transitions smoothly from energy to matter.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lastRenderedPageBreak/>
              <w:t>12.C.3a</w:t>
            </w:r>
            <w:r w:rsidRPr="00350903">
              <w:rPr>
                <w:rFonts w:asciiTheme="majorHAnsi" w:hAnsiTheme="majorHAnsi" w:cs="Arial"/>
                <w:sz w:val="20"/>
                <w:szCs w:val="20"/>
              </w:rPr>
              <w:t xml:space="preserve">, </w:t>
            </w:r>
            <w:r w:rsidRPr="00350903">
              <w:rPr>
                <w:rFonts w:asciiTheme="majorHAnsi" w:hAnsiTheme="majorHAnsi" w:cs="Arial"/>
                <w:b/>
                <w:sz w:val="20"/>
                <w:szCs w:val="20"/>
              </w:rPr>
              <w:t>12.B.4a, 12.B.3a</w:t>
            </w:r>
            <w:r w:rsidRPr="00350903">
              <w:rPr>
                <w:rFonts w:asciiTheme="majorHAnsi" w:hAnsiTheme="majorHAnsi" w:cs="Arial"/>
                <w:sz w:val="20"/>
                <w:szCs w:val="20"/>
              </w:rPr>
              <w:t xml:space="preserve"> ,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lastRenderedPageBreak/>
              <w:t xml:space="preserve">Every living </w:t>
            </w:r>
            <w:proofErr w:type="gramStart"/>
            <w:r w:rsidRPr="00350903">
              <w:rPr>
                <w:rFonts w:asciiTheme="majorHAnsi" w:hAnsiTheme="majorHAnsi"/>
                <w:sz w:val="20"/>
                <w:szCs w:val="20"/>
              </w:rPr>
              <w:t>organisms</w:t>
            </w:r>
            <w:proofErr w:type="gramEnd"/>
            <w:r w:rsidRPr="00350903">
              <w:rPr>
                <w:rFonts w:asciiTheme="majorHAnsi" w:hAnsiTheme="majorHAnsi"/>
                <w:sz w:val="20"/>
                <w:szCs w:val="20"/>
              </w:rPr>
              <w:t xml:space="preserve"> need nutrients to grow and carry out essential life functions. Like water, nutrients are passed between organisms and the environment through biogeochemical cycles.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995B06" w:rsidRDefault="00995B06" w:rsidP="001F46FA">
            <w:pPr>
              <w:rPr>
                <w:rFonts w:asciiTheme="majorHAnsi" w:hAnsiTheme="majorHAnsi"/>
                <w:sz w:val="20"/>
                <w:szCs w:val="20"/>
              </w:rPr>
            </w:pPr>
            <w:r>
              <w:rPr>
                <w:rFonts w:asciiTheme="majorHAnsi" w:hAnsiTheme="majorHAnsi"/>
                <w:sz w:val="20"/>
                <w:szCs w:val="20"/>
              </w:rPr>
              <w:t xml:space="preserve">This </w:t>
            </w:r>
            <w:r w:rsidR="001F46FA">
              <w:rPr>
                <w:rFonts w:asciiTheme="majorHAnsi" w:hAnsiTheme="majorHAnsi"/>
                <w:sz w:val="20"/>
                <w:szCs w:val="20"/>
              </w:rPr>
              <w:t>concept</w:t>
            </w:r>
            <w:r>
              <w:rPr>
                <w:rFonts w:asciiTheme="majorHAnsi" w:hAnsiTheme="majorHAnsi"/>
                <w:sz w:val="20"/>
                <w:szCs w:val="20"/>
              </w:rPr>
              <w:t xml:space="preserve"> </w:t>
            </w:r>
            <w:r w:rsidR="001F46FA">
              <w:rPr>
                <w:rFonts w:asciiTheme="majorHAnsi" w:hAnsiTheme="majorHAnsi"/>
                <w:sz w:val="20"/>
                <w:szCs w:val="20"/>
              </w:rPr>
              <w:t>is important because it ties up</w:t>
            </w:r>
            <w:r>
              <w:rPr>
                <w:rFonts w:asciiTheme="majorHAnsi" w:hAnsiTheme="majorHAnsi"/>
                <w:sz w:val="20"/>
                <w:szCs w:val="20"/>
              </w:rPr>
              <w:t xml:space="preserve"> the key ideas. By now, students will have been exposed to the idea of organism and environment interaction through the flow of energy and matter. This idea takes those specific ideas and broadens them. In other words, students get the big picture</w:t>
            </w:r>
            <w:r w:rsidR="001F46FA">
              <w:rPr>
                <w:rFonts w:asciiTheme="majorHAnsi" w:hAnsiTheme="majorHAnsi"/>
                <w:sz w:val="20"/>
                <w:szCs w:val="20"/>
              </w:rPr>
              <w:t xml:space="preserve"> of how the biosphere works.</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12.C.3a</w:t>
            </w:r>
            <w:r w:rsidRPr="00350903">
              <w:rPr>
                <w:rFonts w:asciiTheme="majorHAnsi" w:hAnsiTheme="majorHAnsi" w:cs="Arial"/>
                <w:sz w:val="20"/>
                <w:szCs w:val="20"/>
              </w:rPr>
              <w:t xml:space="preserve"> , </w:t>
            </w:r>
            <w:r w:rsidRPr="00350903">
              <w:rPr>
                <w:rFonts w:asciiTheme="majorHAnsi" w:hAnsiTheme="majorHAnsi" w:cs="Arial"/>
                <w:b/>
                <w:sz w:val="20"/>
                <w:szCs w:val="20"/>
              </w:rPr>
              <w:t>12.B.4a, 12.B.3a</w:t>
            </w:r>
            <w:r w:rsidRPr="00350903">
              <w:rPr>
                <w:rFonts w:asciiTheme="majorHAnsi" w:hAnsiTheme="majorHAnsi" w:cs="Arial"/>
                <w:sz w:val="20"/>
                <w:szCs w:val="20"/>
              </w:rPr>
              <w:t xml:space="preserve">,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br w:type="page"/>
      </w:r>
      <w:r w:rsidRPr="00350903">
        <w:rPr>
          <w:rFonts w:asciiTheme="majorHAnsi" w:hAnsiTheme="majorHAnsi"/>
          <w:sz w:val="32"/>
          <w:szCs w:val="32"/>
        </w:rPr>
        <w:lastRenderedPageBreak/>
        <w:t>Use the table below to complete parts 4 &amp; 5 of your Unit Plan Assignment.</w:t>
      </w:r>
    </w:p>
    <w:p w:rsidR="00A26F21" w:rsidRPr="00350903" w:rsidRDefault="00A26F21" w:rsidP="00A26F21">
      <w:pPr>
        <w:rPr>
          <w:rFonts w:asciiTheme="majorHAnsi" w:hAnsiTheme="majorHAnsi"/>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8568"/>
      </w:tblGrid>
      <w:tr w:rsidR="00A26F21" w:rsidRPr="00350903" w:rsidTr="001331FB">
        <w:tc>
          <w:tcPr>
            <w:tcW w:w="4608" w:type="dxa"/>
          </w:tcPr>
          <w:p w:rsidR="00A26F21" w:rsidRPr="00350903" w:rsidRDefault="00A26F21" w:rsidP="001331FB">
            <w:pPr>
              <w:rPr>
                <w:rFonts w:asciiTheme="majorHAnsi" w:hAnsiTheme="majorHAnsi"/>
                <w:sz w:val="32"/>
                <w:szCs w:val="32"/>
              </w:rPr>
            </w:pPr>
            <w:r w:rsidRPr="00350903">
              <w:rPr>
                <w:rFonts w:asciiTheme="majorHAnsi" w:hAnsiTheme="majorHAnsi"/>
                <w:sz w:val="32"/>
                <w:szCs w:val="32"/>
              </w:rPr>
              <w:t>Concept</w:t>
            </w:r>
          </w:p>
        </w:tc>
        <w:tc>
          <w:tcPr>
            <w:tcW w:w="8568" w:type="dxa"/>
          </w:tcPr>
          <w:p w:rsidR="00A26F21" w:rsidRPr="00350903" w:rsidRDefault="00A26F21" w:rsidP="001331FB">
            <w:pPr>
              <w:rPr>
                <w:rFonts w:asciiTheme="majorHAnsi" w:hAnsiTheme="majorHAnsi"/>
                <w:sz w:val="32"/>
                <w:szCs w:val="32"/>
              </w:rPr>
            </w:pPr>
            <w:r w:rsidRPr="00350903">
              <w:rPr>
                <w:rFonts w:asciiTheme="majorHAnsi" w:hAnsiTheme="majorHAnsi"/>
                <w:sz w:val="32"/>
                <w:szCs w:val="32"/>
              </w:rPr>
              <w:t>Objective(s)</w:t>
            </w:r>
          </w:p>
        </w:tc>
      </w:tr>
      <w:tr w:rsidR="001F46FA" w:rsidRPr="00350903" w:rsidTr="001F46FA">
        <w:trPr>
          <w:trHeight w:val="70"/>
        </w:trPr>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To understand the various relationships within the biosphere, ecologists ask questions about even</w:t>
            </w:r>
            <w:r>
              <w:rPr>
                <w:rFonts w:asciiTheme="majorHAnsi" w:hAnsiTheme="majorHAnsi"/>
                <w:sz w:val="20"/>
                <w:szCs w:val="20"/>
              </w:rPr>
              <w:t>t</w:t>
            </w:r>
            <w:r w:rsidRPr="00350903">
              <w:rPr>
                <w:rFonts w:asciiTheme="majorHAnsi" w:hAnsiTheme="majorHAnsi"/>
                <w:sz w:val="20"/>
                <w:szCs w:val="20"/>
              </w:rPr>
              <w:t>s and organisms that range in complexity from a single individual to a population, community, ecosystem, biome, or to the entire biosphere</w:t>
            </w:r>
          </w:p>
        </w:tc>
        <w:tc>
          <w:tcPr>
            <w:tcW w:w="8568" w:type="dxa"/>
          </w:tcPr>
          <w:p w:rsidR="001F46FA" w:rsidRDefault="000B2B0B" w:rsidP="000B2B0B">
            <w:pPr>
              <w:pStyle w:val="ListParagraph"/>
              <w:numPr>
                <w:ilvl w:val="0"/>
                <w:numId w:val="2"/>
              </w:numPr>
              <w:rPr>
                <w:rFonts w:asciiTheme="majorHAnsi" w:hAnsiTheme="majorHAnsi"/>
                <w:sz w:val="20"/>
                <w:szCs w:val="20"/>
              </w:rPr>
            </w:pPr>
            <w:r>
              <w:rPr>
                <w:rFonts w:asciiTheme="majorHAnsi" w:hAnsiTheme="majorHAnsi"/>
                <w:sz w:val="20"/>
                <w:szCs w:val="20"/>
              </w:rPr>
              <w:t>Students will be able to distinguish the six organizational levels in ecology: individual, population, community, ecosystem, biome, and biosphere</w:t>
            </w:r>
          </w:p>
          <w:p w:rsidR="000B2B0B" w:rsidRDefault="000B2B0B" w:rsidP="000B2B0B">
            <w:pPr>
              <w:pStyle w:val="ListParagraph"/>
              <w:numPr>
                <w:ilvl w:val="0"/>
                <w:numId w:val="2"/>
              </w:numPr>
              <w:rPr>
                <w:rFonts w:asciiTheme="majorHAnsi" w:hAnsiTheme="majorHAnsi"/>
                <w:sz w:val="20"/>
                <w:szCs w:val="20"/>
              </w:rPr>
            </w:pPr>
            <w:r>
              <w:rPr>
                <w:rFonts w:asciiTheme="majorHAnsi" w:hAnsiTheme="majorHAnsi"/>
                <w:sz w:val="20"/>
                <w:szCs w:val="20"/>
              </w:rPr>
              <w:t>Students will list at least two characteristics per organizational level</w:t>
            </w:r>
          </w:p>
          <w:p w:rsidR="00EF1EE3" w:rsidRPr="000B2B0B" w:rsidRDefault="00EF1EE3" w:rsidP="00EF1EE3">
            <w:pPr>
              <w:pStyle w:val="ListParagraph"/>
              <w:numPr>
                <w:ilvl w:val="0"/>
                <w:numId w:val="2"/>
              </w:numPr>
              <w:rPr>
                <w:rFonts w:asciiTheme="majorHAnsi" w:hAnsiTheme="majorHAnsi"/>
                <w:sz w:val="20"/>
                <w:szCs w:val="20"/>
              </w:rPr>
            </w:pPr>
            <w:r>
              <w:rPr>
                <w:rFonts w:asciiTheme="majorHAnsi" w:hAnsiTheme="majorHAnsi"/>
                <w:sz w:val="20"/>
                <w:szCs w:val="20"/>
              </w:rPr>
              <w:t xml:space="preserve">Students will identify key </w:t>
            </w:r>
            <w:proofErr w:type="spellStart"/>
            <w:r>
              <w:rPr>
                <w:rFonts w:asciiTheme="majorHAnsi" w:hAnsiTheme="majorHAnsi"/>
                <w:sz w:val="20"/>
                <w:szCs w:val="20"/>
              </w:rPr>
              <w:t>abiotic</w:t>
            </w:r>
            <w:proofErr w:type="spellEnd"/>
            <w:r>
              <w:rPr>
                <w:rFonts w:asciiTheme="majorHAnsi" w:hAnsiTheme="majorHAnsi"/>
                <w:sz w:val="20"/>
                <w:szCs w:val="20"/>
              </w:rPr>
              <w:t xml:space="preserve"> and biotic factors</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Energy flows through the ecosystem in one direction, from the sun or inorganic compounds to autotrophs (producers) and then to various heterotrophs (consumers). </w:t>
            </w:r>
          </w:p>
        </w:tc>
        <w:tc>
          <w:tcPr>
            <w:tcW w:w="8568" w:type="dxa"/>
          </w:tcPr>
          <w:p w:rsidR="00EF1EE3" w:rsidRDefault="00EF1EE3" w:rsidP="000B2B0B">
            <w:pPr>
              <w:pStyle w:val="ListParagraph"/>
              <w:numPr>
                <w:ilvl w:val="0"/>
                <w:numId w:val="10"/>
              </w:numPr>
              <w:rPr>
                <w:rFonts w:asciiTheme="majorHAnsi" w:hAnsiTheme="majorHAnsi"/>
                <w:sz w:val="20"/>
                <w:szCs w:val="20"/>
              </w:rPr>
            </w:pPr>
            <w:r>
              <w:rPr>
                <w:rFonts w:asciiTheme="majorHAnsi" w:hAnsiTheme="majorHAnsi"/>
                <w:sz w:val="20"/>
                <w:szCs w:val="20"/>
              </w:rPr>
              <w:t>Students will demonstrate their understanding of energy flow by creating a food web</w:t>
            </w:r>
          </w:p>
          <w:p w:rsidR="00EF1EE3" w:rsidRPr="00EF1EE3" w:rsidRDefault="00EF1EE3" w:rsidP="00EF1EE3">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select organisms to represent producers and consumers (including heterotrophs, carnivores, and </w:t>
            </w:r>
            <w:r w:rsidR="0069721D">
              <w:rPr>
                <w:rFonts w:asciiTheme="majorHAnsi" w:hAnsiTheme="majorHAnsi"/>
                <w:sz w:val="20"/>
                <w:szCs w:val="20"/>
              </w:rPr>
              <w:t>omnivores</w:t>
            </w:r>
            <w:r>
              <w:rPr>
                <w:rFonts w:asciiTheme="majorHAnsi" w:hAnsiTheme="majorHAnsi"/>
                <w:sz w:val="20"/>
                <w:szCs w:val="20"/>
              </w:rPr>
              <w:t>)</w:t>
            </w:r>
          </w:p>
          <w:p w:rsidR="00EF1EE3" w:rsidRPr="000B2B0B" w:rsidRDefault="00EF1EE3" w:rsidP="000B2B0B">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define the following terms in their food web: </w:t>
            </w:r>
            <w:proofErr w:type="spellStart"/>
            <w:r>
              <w:rPr>
                <w:rFonts w:asciiTheme="majorHAnsi" w:hAnsiTheme="majorHAnsi"/>
                <w:sz w:val="20"/>
                <w:szCs w:val="20"/>
              </w:rPr>
              <w:t>autotroph</w:t>
            </w:r>
            <w:proofErr w:type="spellEnd"/>
            <w:r>
              <w:rPr>
                <w:rFonts w:asciiTheme="majorHAnsi" w:hAnsiTheme="majorHAnsi"/>
                <w:sz w:val="20"/>
                <w:szCs w:val="20"/>
              </w:rPr>
              <w:t xml:space="preserve">, </w:t>
            </w:r>
            <w:proofErr w:type="spellStart"/>
            <w:r>
              <w:rPr>
                <w:rFonts w:asciiTheme="majorHAnsi" w:hAnsiTheme="majorHAnsi"/>
                <w:sz w:val="20"/>
                <w:szCs w:val="20"/>
              </w:rPr>
              <w:t>heterotroph</w:t>
            </w:r>
            <w:proofErr w:type="spellEnd"/>
            <w:r>
              <w:rPr>
                <w:rFonts w:asciiTheme="majorHAnsi" w:hAnsiTheme="majorHAnsi"/>
                <w:sz w:val="20"/>
                <w:szCs w:val="20"/>
              </w:rPr>
              <w:t xml:space="preserve">, producer, consumer, herbivore, omnivore, and carnivore. </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Only about 10% of the energy available within one trophic level is transferred to organisms at the next tropic level. </w:t>
            </w:r>
          </w:p>
        </w:tc>
        <w:tc>
          <w:tcPr>
            <w:tcW w:w="8568" w:type="dxa"/>
          </w:tcPr>
          <w:p w:rsidR="001F46FA" w:rsidRPr="00EF1EE3" w:rsidRDefault="00EF1EE3" w:rsidP="00EF1EE3">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calculate the energy transferred from organism to organism given tropic levels in an energy pyramid word problem. </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Unlike the one-way flow of energy, matter is recycled within and between ecosystems. </w:t>
            </w:r>
          </w:p>
        </w:tc>
        <w:tc>
          <w:tcPr>
            <w:tcW w:w="8568" w:type="dxa"/>
          </w:tcPr>
          <w:p w:rsidR="001F46FA" w:rsidRPr="00EF1EE3" w:rsidRDefault="00EF1EE3" w:rsidP="006A32D6">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w:t>
            </w:r>
            <w:r w:rsidR="006A32D6">
              <w:rPr>
                <w:rFonts w:asciiTheme="majorHAnsi" w:hAnsiTheme="majorHAnsi"/>
                <w:sz w:val="20"/>
                <w:szCs w:val="20"/>
              </w:rPr>
              <w:t>compare the differences between energy and matter</w:t>
            </w:r>
            <w:r>
              <w:rPr>
                <w:rFonts w:asciiTheme="majorHAnsi" w:hAnsiTheme="majorHAnsi"/>
                <w:sz w:val="20"/>
                <w:szCs w:val="20"/>
              </w:rPr>
              <w:t xml:space="preserve"> </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Every living </w:t>
            </w:r>
            <w:proofErr w:type="gramStart"/>
            <w:r w:rsidRPr="00350903">
              <w:rPr>
                <w:rFonts w:asciiTheme="majorHAnsi" w:hAnsiTheme="majorHAnsi"/>
                <w:sz w:val="20"/>
                <w:szCs w:val="20"/>
              </w:rPr>
              <w:t>organisms</w:t>
            </w:r>
            <w:proofErr w:type="gramEnd"/>
            <w:r w:rsidRPr="00350903">
              <w:rPr>
                <w:rFonts w:asciiTheme="majorHAnsi" w:hAnsiTheme="majorHAnsi"/>
                <w:sz w:val="20"/>
                <w:szCs w:val="20"/>
              </w:rPr>
              <w:t xml:space="preserve"> need nutrients to grow and carry out essential life functions. Like water, nutrients are passed between organisms and the environment through biogeochemical cycles. </w:t>
            </w:r>
          </w:p>
        </w:tc>
        <w:tc>
          <w:tcPr>
            <w:tcW w:w="8568" w:type="dxa"/>
          </w:tcPr>
          <w:p w:rsidR="001320D8" w:rsidRPr="006A32D6" w:rsidRDefault="001320D8" w:rsidP="006A32D6">
            <w:pPr>
              <w:rPr>
                <w:rFonts w:asciiTheme="majorHAnsi" w:hAnsiTheme="majorHAnsi"/>
                <w:sz w:val="20"/>
                <w:szCs w:val="20"/>
              </w:rPr>
            </w:pPr>
          </w:p>
          <w:p w:rsidR="001320D8" w:rsidRDefault="006A32D6" w:rsidP="001320D8">
            <w:pPr>
              <w:pStyle w:val="ListParagraph"/>
              <w:numPr>
                <w:ilvl w:val="0"/>
                <w:numId w:val="10"/>
              </w:numPr>
              <w:rPr>
                <w:rFonts w:asciiTheme="majorHAnsi" w:hAnsiTheme="majorHAnsi"/>
                <w:sz w:val="20"/>
                <w:szCs w:val="20"/>
              </w:rPr>
            </w:pPr>
            <w:r>
              <w:rPr>
                <w:rFonts w:asciiTheme="majorHAnsi" w:hAnsiTheme="majorHAnsi"/>
                <w:sz w:val="20"/>
                <w:szCs w:val="20"/>
              </w:rPr>
              <w:t>Students will i</w:t>
            </w:r>
            <w:r w:rsidR="001320D8">
              <w:rPr>
                <w:rFonts w:asciiTheme="majorHAnsi" w:hAnsiTheme="majorHAnsi"/>
                <w:sz w:val="20"/>
                <w:szCs w:val="20"/>
              </w:rPr>
              <w:t xml:space="preserve">dentify key terms and concepts related to the carbon, nitrogen, phosphorous, and water cycle </w:t>
            </w:r>
          </w:p>
          <w:p w:rsidR="006A32D6" w:rsidRDefault="006A32D6" w:rsidP="001320D8">
            <w:pPr>
              <w:pStyle w:val="ListParagraph"/>
              <w:numPr>
                <w:ilvl w:val="0"/>
                <w:numId w:val="10"/>
              </w:numPr>
              <w:rPr>
                <w:rFonts w:asciiTheme="majorHAnsi" w:hAnsiTheme="majorHAnsi"/>
                <w:sz w:val="20"/>
                <w:szCs w:val="20"/>
              </w:rPr>
            </w:pPr>
            <w:r>
              <w:rPr>
                <w:rFonts w:asciiTheme="majorHAnsi" w:hAnsiTheme="majorHAnsi"/>
                <w:sz w:val="20"/>
                <w:szCs w:val="20"/>
              </w:rPr>
              <w:t>Students will analyze how biogeochemical cycles impact Earth’s short-term and long-term events</w:t>
            </w:r>
          </w:p>
          <w:p w:rsidR="006A32D6" w:rsidRDefault="006A32D6" w:rsidP="001320D8">
            <w:pPr>
              <w:pStyle w:val="ListParagraph"/>
              <w:numPr>
                <w:ilvl w:val="0"/>
                <w:numId w:val="10"/>
              </w:numPr>
              <w:rPr>
                <w:rFonts w:asciiTheme="majorHAnsi" w:hAnsiTheme="majorHAnsi"/>
                <w:sz w:val="20"/>
                <w:szCs w:val="20"/>
              </w:rPr>
            </w:pPr>
            <w:r>
              <w:rPr>
                <w:rFonts w:asciiTheme="majorHAnsi" w:hAnsiTheme="majorHAnsi"/>
                <w:sz w:val="20"/>
                <w:szCs w:val="20"/>
              </w:rPr>
              <w:t>Students will explain how biogeochemical cycles drive Earth’s processes</w:t>
            </w:r>
          </w:p>
          <w:p w:rsidR="006A32D6" w:rsidRPr="006A32D6" w:rsidRDefault="006A32D6" w:rsidP="006A32D6">
            <w:pPr>
              <w:rPr>
                <w:rFonts w:asciiTheme="majorHAnsi" w:hAnsiTheme="majorHAnsi"/>
                <w:sz w:val="20"/>
                <w:szCs w:val="20"/>
              </w:rPr>
            </w:pP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Use the table below to complete part 6 of your Unit Plan Assignment.</w:t>
      </w:r>
    </w:p>
    <w:p w:rsidR="00A26F21" w:rsidRPr="00350903" w:rsidRDefault="00A26F21" w:rsidP="00A26F21">
      <w:pPr>
        <w:rPr>
          <w:rFonts w:asciiTheme="majorHAnsi" w:hAnsiTheme="majorHAnsi"/>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A26F21" w:rsidRPr="00350903" w:rsidTr="001331FB">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Units Preceding This One</w:t>
            </w:r>
          </w:p>
        </w:tc>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Reasoning</w:t>
            </w:r>
          </w:p>
        </w:tc>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Unit Following This One</w:t>
            </w:r>
          </w:p>
        </w:tc>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Reasoning</w:t>
            </w:r>
          </w:p>
        </w:tc>
      </w:tr>
      <w:tr w:rsidR="001F46FA" w:rsidRPr="00350903" w:rsidTr="001331FB">
        <w:tc>
          <w:tcPr>
            <w:tcW w:w="3294" w:type="dxa"/>
          </w:tcPr>
          <w:p w:rsidR="001F46FA" w:rsidRPr="001F46FA" w:rsidRDefault="00F903A1" w:rsidP="001331FB">
            <w:pPr>
              <w:rPr>
                <w:rFonts w:asciiTheme="majorHAnsi" w:hAnsiTheme="majorHAnsi"/>
                <w:sz w:val="20"/>
                <w:szCs w:val="20"/>
              </w:rPr>
            </w:pPr>
            <w:r>
              <w:rPr>
                <w:rFonts w:asciiTheme="majorHAnsi" w:hAnsiTheme="majorHAnsi"/>
                <w:sz w:val="20"/>
                <w:szCs w:val="20"/>
              </w:rPr>
              <w:t>Plants</w:t>
            </w: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tc>
        <w:tc>
          <w:tcPr>
            <w:tcW w:w="3294" w:type="dxa"/>
          </w:tcPr>
          <w:p w:rsidR="001F46FA" w:rsidRPr="001F46FA" w:rsidRDefault="00AA3410" w:rsidP="00AA3410">
            <w:pPr>
              <w:rPr>
                <w:rFonts w:asciiTheme="majorHAnsi" w:hAnsiTheme="majorHAnsi"/>
                <w:sz w:val="20"/>
                <w:szCs w:val="20"/>
              </w:rPr>
            </w:pPr>
            <w:r>
              <w:rPr>
                <w:rFonts w:asciiTheme="majorHAnsi" w:hAnsiTheme="majorHAnsi"/>
                <w:sz w:val="20"/>
                <w:szCs w:val="20"/>
              </w:rPr>
              <w:lastRenderedPageBreak/>
              <w:t xml:space="preserve">I feel that a unit on plants provides </w:t>
            </w:r>
            <w:r>
              <w:rPr>
                <w:rFonts w:asciiTheme="majorHAnsi" w:hAnsiTheme="majorHAnsi"/>
                <w:sz w:val="20"/>
                <w:szCs w:val="20"/>
              </w:rPr>
              <w:lastRenderedPageBreak/>
              <w:t xml:space="preserve">a great transition into the biosphere unit. In the plants unit, students will build a basic understanding of photosynthesis. This is important because it introduced to the idea of sunlight and energy; in other words, its builds a strong conceptual foundation that will be later built upon in the biosphere unit. </w:t>
            </w:r>
          </w:p>
        </w:tc>
        <w:tc>
          <w:tcPr>
            <w:tcW w:w="3294" w:type="dxa"/>
          </w:tcPr>
          <w:p w:rsidR="001F46FA" w:rsidRPr="001F46FA" w:rsidRDefault="006A32D6" w:rsidP="00923C4C">
            <w:pPr>
              <w:rPr>
                <w:rFonts w:asciiTheme="majorHAnsi" w:hAnsiTheme="majorHAnsi"/>
                <w:sz w:val="20"/>
                <w:szCs w:val="20"/>
              </w:rPr>
            </w:pPr>
            <w:r>
              <w:rPr>
                <w:rFonts w:asciiTheme="majorHAnsi" w:hAnsiTheme="majorHAnsi"/>
                <w:sz w:val="20"/>
                <w:szCs w:val="20"/>
              </w:rPr>
              <w:lastRenderedPageBreak/>
              <w:t xml:space="preserve">No unit. </w:t>
            </w: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tc>
        <w:tc>
          <w:tcPr>
            <w:tcW w:w="3294" w:type="dxa"/>
          </w:tcPr>
          <w:p w:rsidR="001F46FA" w:rsidRPr="001F46FA" w:rsidRDefault="006A32D6" w:rsidP="006A32D6">
            <w:pPr>
              <w:rPr>
                <w:rFonts w:asciiTheme="majorHAnsi" w:hAnsiTheme="majorHAnsi"/>
                <w:sz w:val="20"/>
                <w:szCs w:val="20"/>
              </w:rPr>
            </w:pPr>
            <w:r>
              <w:rPr>
                <w:rFonts w:asciiTheme="majorHAnsi" w:hAnsiTheme="majorHAnsi"/>
                <w:sz w:val="20"/>
                <w:szCs w:val="20"/>
              </w:rPr>
              <w:lastRenderedPageBreak/>
              <w:t xml:space="preserve">I feel that the biosphere should be </w:t>
            </w:r>
            <w:r>
              <w:rPr>
                <w:rFonts w:asciiTheme="majorHAnsi" w:hAnsiTheme="majorHAnsi"/>
                <w:sz w:val="20"/>
                <w:szCs w:val="20"/>
              </w:rPr>
              <w:lastRenderedPageBreak/>
              <w:t>the last unit in a biology classroom. I plan on structuring my class from small-scale to large-scale. I feel that the biosphere is a great way to end a class because it connects all of the previous material</w:t>
            </w:r>
            <w:r w:rsidR="00B77501">
              <w:rPr>
                <w:rFonts w:asciiTheme="majorHAnsi" w:hAnsiTheme="majorHAnsi"/>
                <w:sz w:val="20"/>
                <w:szCs w:val="20"/>
              </w:rPr>
              <w:t xml:space="preserve"> and concepts together</w:t>
            </w:r>
            <w:r>
              <w:rPr>
                <w:rFonts w:asciiTheme="majorHAnsi" w:hAnsiTheme="majorHAnsi"/>
                <w:sz w:val="20"/>
                <w:szCs w:val="20"/>
              </w:rPr>
              <w:t xml:space="preserve">. In other words, the biosphere is the “big picture” that I want students to </w:t>
            </w:r>
            <w:r w:rsidR="00B77501">
              <w:rPr>
                <w:rFonts w:asciiTheme="majorHAnsi" w:hAnsiTheme="majorHAnsi"/>
                <w:sz w:val="20"/>
                <w:szCs w:val="20"/>
              </w:rPr>
              <w:t xml:space="preserve">leave my classroom with. </w:t>
            </w:r>
          </w:p>
        </w:tc>
      </w:tr>
    </w:tbl>
    <w:p w:rsidR="00A26F21" w:rsidRPr="00350903" w:rsidRDefault="00A26F21" w:rsidP="00A26F21">
      <w:pPr>
        <w:rPr>
          <w:rFonts w:asciiTheme="majorHAnsi" w:hAnsiTheme="majorHAnsi"/>
          <w:sz w:val="32"/>
          <w:szCs w:val="32"/>
        </w:rPr>
      </w:pPr>
    </w:p>
    <w:p w:rsidR="006312EE" w:rsidRPr="00350903" w:rsidRDefault="006312EE">
      <w:pPr>
        <w:rPr>
          <w:rFonts w:asciiTheme="majorHAnsi" w:hAnsiTheme="majorHAnsi"/>
        </w:rPr>
      </w:pPr>
    </w:p>
    <w:sectPr w:rsidR="006312EE" w:rsidRPr="00350903" w:rsidSect="00C55CDF">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witzerla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5A8B"/>
    <w:multiLevelType w:val="hybridMultilevel"/>
    <w:tmpl w:val="90CA1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B26AE"/>
    <w:multiLevelType w:val="hybridMultilevel"/>
    <w:tmpl w:val="53069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5473D22"/>
    <w:multiLevelType w:val="hybridMultilevel"/>
    <w:tmpl w:val="0CE8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E70AA0"/>
    <w:multiLevelType w:val="hybridMultilevel"/>
    <w:tmpl w:val="87F8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16ADF"/>
    <w:multiLevelType w:val="hybridMultilevel"/>
    <w:tmpl w:val="7C8C7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6F71A1"/>
    <w:multiLevelType w:val="hybridMultilevel"/>
    <w:tmpl w:val="09240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8E29BA"/>
    <w:multiLevelType w:val="hybridMultilevel"/>
    <w:tmpl w:val="1A84A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76738A"/>
    <w:multiLevelType w:val="hybridMultilevel"/>
    <w:tmpl w:val="7F7A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7F44FD"/>
    <w:multiLevelType w:val="hybridMultilevel"/>
    <w:tmpl w:val="D7346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0EF5D4C"/>
    <w:multiLevelType w:val="hybridMultilevel"/>
    <w:tmpl w:val="0CA0C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6"/>
  </w:num>
  <w:num w:numId="4">
    <w:abstractNumId w:val="9"/>
  </w:num>
  <w:num w:numId="5">
    <w:abstractNumId w:val="7"/>
  </w:num>
  <w:num w:numId="6">
    <w:abstractNumId w:val="1"/>
  </w:num>
  <w:num w:numId="7">
    <w:abstractNumId w:val="5"/>
  </w:num>
  <w:num w:numId="8">
    <w:abstractNumId w:val="8"/>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6F21"/>
    <w:rsid w:val="00090A38"/>
    <w:rsid w:val="000B1D1A"/>
    <w:rsid w:val="000B2B0B"/>
    <w:rsid w:val="00124BC5"/>
    <w:rsid w:val="00126770"/>
    <w:rsid w:val="001320D8"/>
    <w:rsid w:val="001F46FA"/>
    <w:rsid w:val="002A6E13"/>
    <w:rsid w:val="002F13F0"/>
    <w:rsid w:val="00350903"/>
    <w:rsid w:val="00396A0E"/>
    <w:rsid w:val="004B39B7"/>
    <w:rsid w:val="005F6BB9"/>
    <w:rsid w:val="006312EE"/>
    <w:rsid w:val="0069721D"/>
    <w:rsid w:val="006A32D6"/>
    <w:rsid w:val="007C3C6D"/>
    <w:rsid w:val="00995B06"/>
    <w:rsid w:val="00A26F21"/>
    <w:rsid w:val="00AA3410"/>
    <w:rsid w:val="00AD6715"/>
    <w:rsid w:val="00B03BDF"/>
    <w:rsid w:val="00B17657"/>
    <w:rsid w:val="00B77501"/>
    <w:rsid w:val="00E939D4"/>
    <w:rsid w:val="00EF1EE3"/>
    <w:rsid w:val="00F903A1"/>
    <w:rsid w:val="00FF0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2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nchmarks">
    <w:name w:val="benchmarks"/>
    <w:rsid w:val="00126770"/>
    <w:pPr>
      <w:tabs>
        <w:tab w:val="left" w:pos="660"/>
      </w:tabs>
      <w:spacing w:after="0" w:line="240" w:lineRule="auto"/>
      <w:jc w:val="both"/>
    </w:pPr>
    <w:rPr>
      <w:rFonts w:ascii="Switzerland" w:eastAsia="Times New Roman" w:hAnsi="Switzerland" w:cs="Switzerland"/>
      <w:color w:val="000000"/>
      <w:sz w:val="18"/>
      <w:szCs w:val="20"/>
    </w:rPr>
  </w:style>
  <w:style w:type="paragraph" w:styleId="ListParagraph">
    <w:name w:val="List Paragraph"/>
    <w:basedOn w:val="Normal"/>
    <w:uiPriority w:val="34"/>
    <w:qFormat/>
    <w:rsid w:val="000B2B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1279</Words>
  <Characters>7295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dcterms:created xsi:type="dcterms:W3CDTF">2012-02-28T05:46:00Z</dcterms:created>
  <dcterms:modified xsi:type="dcterms:W3CDTF">2012-02-28T05:46:00Z</dcterms:modified>
</cp:coreProperties>
</file>