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E68" w:rsidRDefault="00826E68" w:rsidP="00742B05">
      <w:r>
        <w:t>Name: _____________________ Class: _____________________ Date: _____________________</w:t>
      </w:r>
    </w:p>
    <w:p w:rsidR="00742B05" w:rsidRPr="00826E68" w:rsidRDefault="00742B05" w:rsidP="00742B05">
      <w:pPr>
        <w:rPr>
          <w:b/>
        </w:rPr>
      </w:pPr>
      <w:r w:rsidRPr="00826E68">
        <w:rPr>
          <w:b/>
        </w:rPr>
        <w:t>Answer the following questions:</w:t>
      </w:r>
    </w:p>
    <w:p w:rsidR="00D65B1B" w:rsidRDefault="00742B05" w:rsidP="00742B05">
      <w:pPr>
        <w:pStyle w:val="ListParagraph"/>
        <w:numPr>
          <w:ilvl w:val="0"/>
          <w:numId w:val="1"/>
        </w:numPr>
      </w:pPr>
      <w:r>
        <w:t>Use the term DNA in a sentence.</w:t>
      </w:r>
    </w:p>
    <w:p w:rsidR="00742B05" w:rsidRPr="00B57FAB" w:rsidRDefault="00B57FAB" w:rsidP="00742B05">
      <w:pPr>
        <w:pStyle w:val="ListParagraph"/>
        <w:rPr>
          <w:color w:val="FF0000"/>
        </w:rPr>
      </w:pPr>
      <w:r>
        <w:rPr>
          <w:color w:val="FF0000"/>
        </w:rPr>
        <w:t xml:space="preserve">DNA is a molecule that is responsible for my inherited traits. </w:t>
      </w:r>
    </w:p>
    <w:p w:rsidR="00742B05" w:rsidRDefault="00742B05" w:rsidP="00742B05">
      <w:pPr>
        <w:pStyle w:val="ListParagraph"/>
        <w:numPr>
          <w:ilvl w:val="0"/>
          <w:numId w:val="1"/>
        </w:numPr>
      </w:pPr>
      <w:r>
        <w:t xml:space="preserve">Create your OWN analogy for DNA. Explain your reasoning. </w:t>
      </w:r>
    </w:p>
    <w:p w:rsidR="00742B05" w:rsidRPr="00B57FAB" w:rsidRDefault="00B57FAB" w:rsidP="00742B05">
      <w:pPr>
        <w:pStyle w:val="ListParagraph"/>
        <w:rPr>
          <w:color w:val="FF0000"/>
        </w:rPr>
      </w:pPr>
      <w:r>
        <w:rPr>
          <w:color w:val="FF0000"/>
        </w:rPr>
        <w:t xml:space="preserve">DNA is like the cell’s directory: it contains the all of the information that the cell needs to survive. It is stationary; things go to it for information. </w:t>
      </w:r>
    </w:p>
    <w:p w:rsidR="00742B05" w:rsidRDefault="00742B05" w:rsidP="00742B05">
      <w:pPr>
        <w:pStyle w:val="ListParagraph"/>
      </w:pPr>
    </w:p>
    <w:p w:rsidR="00742B05" w:rsidRDefault="00742B05" w:rsidP="00742B05">
      <w:pPr>
        <w:pStyle w:val="ListParagraph"/>
        <w:numPr>
          <w:ilvl w:val="0"/>
          <w:numId w:val="1"/>
        </w:numPr>
      </w:pPr>
      <w:r>
        <w:t>In your OWN words, write a definition for the following terms:</w:t>
      </w:r>
      <w:r w:rsidR="00B57FAB">
        <w:t xml:space="preserve"> </w:t>
      </w:r>
      <w:r w:rsidR="00B57FAB">
        <w:rPr>
          <w:color w:val="FF0000"/>
        </w:rPr>
        <w:t>(Actual definitions)</w:t>
      </w:r>
    </w:p>
    <w:p w:rsidR="00742B05" w:rsidRDefault="00742B05" w:rsidP="00742B05">
      <w:pPr>
        <w:pStyle w:val="ListParagraph"/>
      </w:pPr>
      <w:r>
        <w:t>Chromosomes-</w:t>
      </w:r>
    </w:p>
    <w:p w:rsidR="00826E68" w:rsidRPr="00337492" w:rsidRDefault="00337492" w:rsidP="00337492">
      <w:pPr>
        <w:pStyle w:val="ListParagraph"/>
        <w:rPr>
          <w:color w:val="FF0000"/>
        </w:rPr>
      </w:pPr>
      <w:r>
        <w:rPr>
          <w:color w:val="FF0000"/>
        </w:rPr>
        <w:t>Chromosomes are c</w:t>
      </w:r>
      <w:r w:rsidR="00B57FAB">
        <w:rPr>
          <w:color w:val="FF0000"/>
        </w:rPr>
        <w:t xml:space="preserve">ondensed threads of genetic material formed from chromatin as a cell prepares to </w:t>
      </w:r>
      <w:r>
        <w:rPr>
          <w:color w:val="FF0000"/>
        </w:rPr>
        <w:t>divide</w:t>
      </w:r>
      <w:r w:rsidR="00B57FAB">
        <w:rPr>
          <w:color w:val="FF0000"/>
        </w:rPr>
        <w:t>.</w:t>
      </w:r>
    </w:p>
    <w:p w:rsidR="00337492" w:rsidRDefault="00337492" w:rsidP="00742B05">
      <w:pPr>
        <w:pStyle w:val="ListParagraph"/>
      </w:pPr>
      <w:r>
        <w:t>Genes</w:t>
      </w:r>
    </w:p>
    <w:p w:rsidR="00826E68" w:rsidRPr="00337492" w:rsidRDefault="00337492" w:rsidP="00742B05">
      <w:pPr>
        <w:pStyle w:val="ListParagraph"/>
        <w:rPr>
          <w:color w:val="FF0000"/>
        </w:rPr>
      </w:pPr>
      <w:r>
        <w:rPr>
          <w:color w:val="FF0000"/>
        </w:rPr>
        <w:t>Genes are the unit of inherited information in DNA.</w:t>
      </w:r>
    </w:p>
    <w:p w:rsidR="00826E68" w:rsidRPr="00337492" w:rsidRDefault="00742B05" w:rsidP="00742B05">
      <w:pPr>
        <w:pStyle w:val="ListParagraph"/>
        <w:rPr>
          <w:color w:val="FF0000"/>
        </w:rPr>
      </w:pPr>
      <w:r>
        <w:br/>
        <w:t>Nucleotide-</w:t>
      </w:r>
      <w:r>
        <w:br/>
      </w:r>
      <w:r w:rsidR="00337492">
        <w:rPr>
          <w:color w:val="FF0000"/>
        </w:rPr>
        <w:t>Nucleotides are the building blocks (monomer) of nucleic acids.</w:t>
      </w:r>
    </w:p>
    <w:p w:rsidR="00742B05" w:rsidRDefault="00742B05" w:rsidP="00826E68">
      <w:pPr>
        <w:pStyle w:val="ListParagraph"/>
      </w:pPr>
      <w:r>
        <w:br/>
        <w:t xml:space="preserve">Nucleic acid- </w:t>
      </w:r>
    </w:p>
    <w:p w:rsidR="00826E68" w:rsidRPr="00337492" w:rsidRDefault="00337492" w:rsidP="00337492">
      <w:pPr>
        <w:ind w:left="720"/>
        <w:rPr>
          <w:color w:val="FF0000"/>
        </w:rPr>
      </w:pPr>
      <w:r>
        <w:rPr>
          <w:color w:val="FF0000"/>
        </w:rPr>
        <w:t>Single or double ring of carbon and nitrogen atoms with attached functional groups. Nitrogenous bases include: adenine, thymine, cytosine, and guanine.</w:t>
      </w:r>
    </w:p>
    <w:p w:rsidR="00742B05" w:rsidRDefault="00034569" w:rsidP="00826E68">
      <w:pPr>
        <w:ind w:firstLine="720"/>
      </w:pPr>
      <w:proofErr w:type="spellStart"/>
      <w:r>
        <w:t>Purine</w:t>
      </w:r>
      <w:proofErr w:type="spellEnd"/>
      <w:r>
        <w:t>-</w:t>
      </w:r>
    </w:p>
    <w:p w:rsidR="00826E68" w:rsidRPr="00337492" w:rsidRDefault="00337492" w:rsidP="00826E68">
      <w:pPr>
        <w:ind w:firstLine="720"/>
        <w:rPr>
          <w:color w:val="FF0000"/>
        </w:rPr>
      </w:pPr>
      <w:r>
        <w:rPr>
          <w:color w:val="FF0000"/>
        </w:rPr>
        <w:t>Double-ring nitrogenous base; adenine and guanine</w:t>
      </w:r>
    </w:p>
    <w:p w:rsidR="00034569" w:rsidRDefault="00034569" w:rsidP="00742B05">
      <w:r>
        <w:tab/>
      </w:r>
      <w:proofErr w:type="spellStart"/>
      <w:r>
        <w:t>Pyrimidine</w:t>
      </w:r>
      <w:proofErr w:type="spellEnd"/>
      <w:r>
        <w:t>-</w:t>
      </w:r>
    </w:p>
    <w:p w:rsidR="00337492" w:rsidRPr="00337492" w:rsidRDefault="00337492" w:rsidP="00742B05">
      <w:pPr>
        <w:rPr>
          <w:color w:val="FF0000"/>
        </w:rPr>
      </w:pPr>
      <w:r>
        <w:tab/>
      </w:r>
      <w:r w:rsidRPr="00337492">
        <w:rPr>
          <w:color w:val="FF0000"/>
        </w:rPr>
        <w:t>Single-ring nitrogenous</w:t>
      </w:r>
      <w:r>
        <w:rPr>
          <w:color w:val="FF0000"/>
        </w:rPr>
        <w:t xml:space="preserve"> base; cytosine and thymine</w:t>
      </w:r>
    </w:p>
    <w:p w:rsidR="00826E68" w:rsidRDefault="00826E68" w:rsidP="00742B05"/>
    <w:p w:rsidR="004A7141" w:rsidRDefault="004A7141" w:rsidP="00034569">
      <w:pPr>
        <w:spacing w:before="240"/>
        <w:rPr>
          <w:b/>
        </w:rPr>
      </w:pPr>
    </w:p>
    <w:p w:rsidR="000A0EF6" w:rsidRDefault="000A0EF6" w:rsidP="00034569">
      <w:pPr>
        <w:spacing w:before="240"/>
        <w:rPr>
          <w:b/>
        </w:rPr>
      </w:pPr>
    </w:p>
    <w:p w:rsidR="000A0EF6" w:rsidRDefault="000A0EF6" w:rsidP="00034569">
      <w:pPr>
        <w:spacing w:before="240"/>
        <w:rPr>
          <w:b/>
        </w:rPr>
      </w:pPr>
    </w:p>
    <w:p w:rsidR="000A0EF6" w:rsidRDefault="000A0EF6" w:rsidP="00034569">
      <w:pPr>
        <w:spacing w:before="240"/>
        <w:rPr>
          <w:b/>
        </w:rPr>
      </w:pPr>
    </w:p>
    <w:p w:rsidR="000A0EF6" w:rsidRDefault="000A0EF6" w:rsidP="00034569">
      <w:pPr>
        <w:spacing w:before="240"/>
        <w:rPr>
          <w:b/>
        </w:rPr>
      </w:pPr>
    </w:p>
    <w:p w:rsidR="000A0EF6" w:rsidRDefault="000A0EF6" w:rsidP="00034569">
      <w:pPr>
        <w:spacing w:before="240"/>
        <w:rPr>
          <w:b/>
        </w:rPr>
      </w:pPr>
    </w:p>
    <w:p w:rsidR="000A0EF6" w:rsidRDefault="000A0EF6" w:rsidP="00034569">
      <w:pPr>
        <w:spacing w:before="240"/>
        <w:rPr>
          <w:b/>
        </w:rPr>
      </w:pPr>
    </w:p>
    <w:p w:rsidR="000A0EF6" w:rsidRDefault="000A0EF6" w:rsidP="00034569">
      <w:pPr>
        <w:spacing w:before="240"/>
        <w:rPr>
          <w:b/>
        </w:rPr>
      </w:pPr>
    </w:p>
    <w:p w:rsidR="00034569" w:rsidRDefault="00034569" w:rsidP="00034569">
      <w:pPr>
        <w:spacing w:before="240"/>
        <w:rPr>
          <w:b/>
        </w:rPr>
      </w:pPr>
      <w:r w:rsidRPr="00826E68">
        <w:rPr>
          <w:b/>
        </w:rPr>
        <w:t>Fill in the following concept map:</w:t>
      </w:r>
      <w:r w:rsidR="00826E68">
        <w:rPr>
          <w:b/>
        </w:rPr>
        <w:t xml:space="preserve"> </w:t>
      </w:r>
      <w:r w:rsidR="00A878D7">
        <w:rPr>
          <w:b/>
        </w:rPr>
        <w:t xml:space="preserve">Only one word per bubble. </w:t>
      </w:r>
    </w:p>
    <w:p w:rsidR="00826E68" w:rsidRPr="00826E68" w:rsidRDefault="00285BD3" w:rsidP="00034569">
      <w:pPr>
        <w:spacing w:before="240"/>
        <w:rPr>
          <w:b/>
        </w:rPr>
      </w:pPr>
      <w:r>
        <w:rPr>
          <w:b/>
          <w:noProof/>
        </w:rPr>
        <w:pict>
          <v:rect id="_x0000_s1042" style="position:absolute;margin-left:41.85pt;margin-top:4.15pt;width:462.9pt;height:49.5pt;z-index:251675648">
            <v:shadow on="t" opacity=".5" offset="6pt,-6pt"/>
            <v:textbox>
              <w:txbxContent>
                <w:p w:rsidR="00826E68" w:rsidRDefault="00826E68">
                  <w:r w:rsidRPr="00326E6C">
                    <w:rPr>
                      <w:color w:val="00B0F0"/>
                    </w:rPr>
                    <w:t>Genetic information</w:t>
                  </w:r>
                  <w:r w:rsidR="00A878D7">
                    <w:tab/>
                  </w:r>
                  <w:r w:rsidR="00A878D7">
                    <w:tab/>
                  </w:r>
                  <w:r w:rsidR="00A878D7" w:rsidRPr="00326E6C">
                    <w:rPr>
                      <w:color w:val="7030A0"/>
                    </w:rPr>
                    <w:t>nucleotide bases</w:t>
                  </w:r>
                  <w:r w:rsidR="00A878D7">
                    <w:tab/>
                  </w:r>
                  <w:r w:rsidR="00A878D7" w:rsidRPr="00326E6C">
                    <w:rPr>
                      <w:color w:val="FF0000"/>
                    </w:rPr>
                    <w:t>chromosomes</w:t>
                  </w:r>
                  <w:r w:rsidR="00326E6C">
                    <w:tab/>
                  </w:r>
                  <w:r w:rsidR="00326E6C">
                    <w:tab/>
                  </w:r>
                  <w:r w:rsidR="00326E6C" w:rsidRPr="00326E6C">
                    <w:rPr>
                      <w:color w:val="FFC000"/>
                    </w:rPr>
                    <w:t>proteins</w:t>
                  </w:r>
                </w:p>
                <w:p w:rsidR="00826E68" w:rsidRDefault="00826E68">
                  <w:r w:rsidRPr="00326E6C">
                    <w:rPr>
                      <w:color w:val="92D050"/>
                    </w:rPr>
                    <w:t>DNA</w:t>
                  </w:r>
                  <w:r w:rsidR="00A878D7">
                    <w:tab/>
                  </w:r>
                  <w:r w:rsidR="00A878D7">
                    <w:tab/>
                  </w:r>
                  <w:r w:rsidR="00A878D7">
                    <w:tab/>
                  </w:r>
                  <w:r w:rsidR="00A878D7">
                    <w:tab/>
                  </w:r>
                  <w:proofErr w:type="spellStart"/>
                  <w:r w:rsidR="00A878D7">
                    <w:t>purines</w:t>
                  </w:r>
                  <w:proofErr w:type="spellEnd"/>
                  <w:r w:rsidR="00A878D7">
                    <w:tab/>
                  </w:r>
                  <w:r w:rsidR="00A878D7">
                    <w:tab/>
                  </w:r>
                  <w:r w:rsidR="00A878D7">
                    <w:tab/>
                    <w:t>ribosome</w:t>
                  </w:r>
                  <w:r w:rsidR="00326E6C">
                    <w:t xml:space="preserve">       </w:t>
                  </w:r>
                </w:p>
                <w:p w:rsidR="00826E68" w:rsidRDefault="00826E68"/>
              </w:txbxContent>
            </v:textbox>
          </v:rect>
        </w:pict>
      </w:r>
    </w:p>
    <w:p w:rsidR="00826E68" w:rsidRDefault="00826E68" w:rsidP="00034569">
      <w:pPr>
        <w:spacing w:before="240"/>
      </w:pPr>
    </w:p>
    <w:p w:rsidR="00034569" w:rsidRDefault="00285BD3" w:rsidP="00034569">
      <w:pPr>
        <w:spacing w:before="240"/>
      </w:pPr>
      <w:r w:rsidRPr="00285BD3">
        <w:rPr>
          <w:noProof/>
          <w:color w:val="FF0000"/>
        </w:rPr>
        <w:pict>
          <v:oval id="_x0000_s1026" style="position:absolute;margin-left:159.75pt;margin-top:18.05pt;width:142.5pt;height:82.5pt;z-index:-251658240" wrapcoords="10118 -1571 8299 -1375 3752 785 3752 1571 3069 2356 1478 4713 1023 5695 114 7855 -114 9229 -114 11585 114 14138 1819 17280 1933 17673 5229 20422 5684 20618 8185 21404 8526 21404 12960 21404 13301 21404 15802 20618 16257 20422 19554 17673 19667 17280 21486 14138 22396 10996 22509 9425 22509 7658 21827 4713 20349 2553 19554 1571 19667 785 15006 -1375 13187 -1571 10118 -1571" strokecolor="red">
            <v:shadow on="t" opacity=".5" offset="6pt,-6pt"/>
            <w10:wrap type="through"/>
          </v:oval>
        </w:pict>
      </w:r>
    </w:p>
    <w:p w:rsidR="00034569" w:rsidRDefault="00034569" w:rsidP="00034569">
      <w:pPr>
        <w:spacing w:before="240"/>
      </w:pPr>
    </w:p>
    <w:p w:rsidR="00326E6C" w:rsidRDefault="00326E6C" w:rsidP="00034569">
      <w:pPr>
        <w:spacing w:before="240"/>
      </w:pPr>
    </w:p>
    <w:p w:rsidR="00034569" w:rsidRDefault="00285BD3" w:rsidP="00034569">
      <w:pPr>
        <w:spacing w:before="240"/>
      </w:pPr>
      <w:r>
        <w:rPr>
          <w:noProof/>
        </w:rPr>
        <w:pict>
          <v:shapetype id="_x0000_t32" coordsize="21600,21600" o:spt="32" o:oned="t" path="m,l21600,21600e" filled="f">
            <v:path arrowok="t" fillok="f" o:connecttype="none"/>
            <o:lock v:ext="edit" shapetype="t"/>
          </v:shapetype>
          <v:shape id="_x0000_s1032" type="#_x0000_t32" style="position:absolute;margin-left:229.5pt;margin-top:18.25pt;width:1.5pt;height:28.05pt;z-index:251664384" o:connectortype="straight"/>
        </w:pict>
      </w:r>
      <w:r>
        <w:rPr>
          <w:noProof/>
          <w:lang w:eastAsia="zh-TW"/>
        </w:rPr>
        <w:pict>
          <v:shapetype id="_x0000_t202" coordsize="21600,21600" o:spt="202" path="m,l,21600r21600,l21600,xe">
            <v:stroke joinstyle="miter"/>
            <v:path gradientshapeok="t" o:connecttype="rect"/>
          </v:shapetype>
          <v:shape id="_x0000_s1038" type="#_x0000_t202" style="position:absolute;margin-left:0;margin-top:23.5pt;width:96.25pt;height:22.4pt;z-index:251671552;mso-position-horizontal:center;mso-width-relative:margin;mso-height-relative:margin" strokecolor="white [3212]">
            <v:textbox>
              <w:txbxContent>
                <w:p w:rsidR="00934E53" w:rsidRDefault="00934E53">
                  <w:proofErr w:type="gramStart"/>
                  <w:r>
                    <w:t>are</w:t>
                  </w:r>
                  <w:proofErr w:type="gramEnd"/>
                  <w:r>
                    <w:t xml:space="preserve"> composed of </w:t>
                  </w:r>
                  <w:proofErr w:type="spellStart"/>
                  <w:r>
                    <w:t>of</w:t>
                  </w:r>
                  <w:proofErr w:type="spellEnd"/>
                </w:p>
              </w:txbxContent>
            </v:textbox>
          </v:shape>
        </w:pict>
      </w:r>
    </w:p>
    <w:p w:rsidR="00034569" w:rsidRDefault="00285BD3" w:rsidP="00034569">
      <w:pPr>
        <w:spacing w:before="240"/>
      </w:pPr>
      <w:r>
        <w:rPr>
          <w:noProof/>
        </w:rPr>
        <w:pict>
          <v:shape id="_x0000_s1034" type="#_x0000_t32" style="position:absolute;margin-left:229.5pt;margin-top:18.85pt;width:72.75pt;height:27pt;z-index:251666432" o:connectortype="straight"/>
        </w:pict>
      </w:r>
      <w:r>
        <w:rPr>
          <w:noProof/>
        </w:rPr>
        <w:pict>
          <v:shape id="_x0000_s1033" type="#_x0000_t32" style="position:absolute;margin-left:159.75pt;margin-top:18.85pt;width:71.25pt;height:27pt;flip:x;z-index:251665408" o:connectortype="straight"/>
        </w:pict>
      </w:r>
    </w:p>
    <w:p w:rsidR="00034569" w:rsidRDefault="00285BD3" w:rsidP="00034569">
      <w:pPr>
        <w:spacing w:before="240"/>
      </w:pPr>
      <w:r>
        <w:rPr>
          <w:noProof/>
        </w:rPr>
        <w:pict>
          <v:oval id="_x0000_s1028" style="position:absolute;margin-left:1.5pt;margin-top:6.4pt;width:142.5pt;height:82.5pt;z-index:251660288" strokecolor="#ffc000">
            <v:shadow on="t" opacity=".5" offset="6pt,-6pt"/>
          </v:oval>
        </w:pict>
      </w:r>
      <w:r>
        <w:rPr>
          <w:noProof/>
        </w:rPr>
        <w:pict>
          <v:oval id="_x0000_s1029" style="position:absolute;margin-left:309.75pt;margin-top:6.4pt;width:142.5pt;height:82.5pt;z-index:251661312" strokecolor="#92d050">
            <v:shadow on="t" opacity=".5" offset="6pt,-6pt"/>
          </v:oval>
        </w:pict>
      </w:r>
    </w:p>
    <w:p w:rsidR="00034569" w:rsidRDefault="00034569" w:rsidP="00034569">
      <w:pPr>
        <w:spacing w:before="240"/>
      </w:pPr>
    </w:p>
    <w:p w:rsidR="00034569" w:rsidRDefault="00034569" w:rsidP="00034569">
      <w:pPr>
        <w:spacing w:before="240"/>
      </w:pPr>
    </w:p>
    <w:p w:rsidR="00034569" w:rsidRDefault="00285BD3" w:rsidP="00034569">
      <w:pPr>
        <w:spacing w:before="240"/>
      </w:pPr>
      <w:r>
        <w:rPr>
          <w:noProof/>
        </w:rPr>
        <w:pict>
          <v:shape id="_x0000_s1036" type="#_x0000_t32" style="position:absolute;margin-left:382.5pt;margin-top:6.6pt;width:0;height:84pt;z-index:251668480" o:connectortype="straight"/>
        </w:pict>
      </w:r>
      <w:r>
        <w:rPr>
          <w:noProof/>
        </w:rPr>
        <w:pict>
          <v:shape id="_x0000_s1035" type="#_x0000_t32" style="position:absolute;margin-left:75pt;margin-top:6.6pt;width:0;height:84pt;z-index:251667456" o:connectortype="straight"/>
        </w:pict>
      </w:r>
    </w:p>
    <w:p w:rsidR="00034569" w:rsidRDefault="00285BD3" w:rsidP="00034569">
      <w:pPr>
        <w:spacing w:before="240"/>
      </w:pPr>
      <w:r>
        <w:rPr>
          <w:noProof/>
        </w:rPr>
        <w:pict>
          <v:shape id="_x0000_s1040" type="#_x0000_t202" style="position:absolute;margin-left:12pt;margin-top:2.1pt;width:147.75pt;height:21pt;z-index:251673600;mso-width-relative:margin;mso-height-relative:margin" strokecolor="white [3212]">
            <v:textbox>
              <w:txbxContent>
                <w:p w:rsidR="00934E53" w:rsidRDefault="00934E53" w:rsidP="00934E53">
                  <w:proofErr w:type="gramStart"/>
                  <w:r>
                    <w:t>which</w:t>
                  </w:r>
                  <w:proofErr w:type="gramEnd"/>
                  <w:r>
                    <w:t xml:space="preserve"> are assembled within</w:t>
                  </w:r>
                </w:p>
              </w:txbxContent>
            </v:textbox>
          </v:shape>
        </w:pict>
      </w:r>
      <w:r>
        <w:rPr>
          <w:noProof/>
        </w:rPr>
        <w:pict>
          <v:shape id="_x0000_s1039" type="#_x0000_t202" style="position:absolute;margin-left:338.75pt;margin-top:11.1pt;width:75.25pt;height:21pt;z-index:251672576;mso-width-relative:margin;mso-height-relative:margin" strokecolor="white [3212]">
            <v:textbox>
              <w:txbxContent>
                <w:p w:rsidR="00934E53" w:rsidRDefault="00934E53" w:rsidP="00934E53">
                  <w:proofErr w:type="gramStart"/>
                  <w:r>
                    <w:t>which</w:t>
                  </w:r>
                  <w:proofErr w:type="gramEnd"/>
                  <w:r>
                    <w:t xml:space="preserve"> carries</w:t>
                  </w:r>
                </w:p>
              </w:txbxContent>
            </v:textbox>
          </v:shape>
        </w:pict>
      </w:r>
    </w:p>
    <w:p w:rsidR="00034569" w:rsidRDefault="00034569" w:rsidP="00034569">
      <w:pPr>
        <w:spacing w:before="240"/>
      </w:pPr>
    </w:p>
    <w:p w:rsidR="00034569" w:rsidRDefault="00285BD3" w:rsidP="00034569">
      <w:pPr>
        <w:spacing w:before="240"/>
      </w:pPr>
      <w:r>
        <w:rPr>
          <w:noProof/>
        </w:rPr>
        <w:pict>
          <v:shape id="_x0000_s1041" type="#_x0000_t202" style="position:absolute;margin-left:338.75pt;margin-top:128.7pt;width:100.5pt;height:21pt;z-index:251674624;mso-width-relative:margin;mso-height-relative:margin" strokecolor="white [3212]">
            <v:textbox style="mso-next-textbox:#_x0000_s1041">
              <w:txbxContent>
                <w:p w:rsidR="00934E53" w:rsidRDefault="00934E53" w:rsidP="00934E53">
                  <w:proofErr w:type="gramStart"/>
                  <w:r>
                    <w:t>in</w:t>
                  </w:r>
                  <w:proofErr w:type="gramEnd"/>
                  <w:r>
                    <w:t xml:space="preserve"> the order of its</w:t>
                  </w:r>
                </w:p>
              </w:txbxContent>
            </v:textbox>
          </v:shape>
        </w:pict>
      </w:r>
      <w:r>
        <w:rPr>
          <w:noProof/>
        </w:rPr>
        <w:pict>
          <v:shape id="_x0000_s1037" type="#_x0000_t32" style="position:absolute;margin-left:382.5pt;margin-top:108pt;width:0;height:84pt;z-index:251669504" o:connectortype="straight"/>
        </w:pict>
      </w:r>
      <w:r>
        <w:rPr>
          <w:noProof/>
        </w:rPr>
        <w:pict>
          <v:oval id="_x0000_s1027" style="position:absolute;margin-left:1.5pt;margin-top:21pt;width:142.5pt;height:82.5pt;z-index:251659264">
            <v:shadow on="t" opacity=".5" offset="6pt,-6pt"/>
          </v:oval>
        </w:pict>
      </w:r>
      <w:r>
        <w:rPr>
          <w:noProof/>
        </w:rPr>
        <w:pict>
          <v:oval id="_x0000_s1030" style="position:absolute;margin-left:309.75pt;margin-top:21pt;width:142.5pt;height:82.5pt;z-index:251662336" strokecolor="#4f81bd [3204]">
            <v:shadow on="t" opacity=".5" offset="6pt,-6pt"/>
          </v:oval>
        </w:pict>
      </w:r>
      <w:r>
        <w:rPr>
          <w:noProof/>
        </w:rPr>
        <w:pict>
          <v:oval id="_x0000_s1031" style="position:absolute;margin-left:314.25pt;margin-top:192pt;width:142.5pt;height:82.5pt;z-index:251663360" strokecolor="#7030a0">
            <v:shadow on="t" opacity=".5" offset="6pt,-6pt"/>
          </v:oval>
        </w:pict>
      </w:r>
    </w:p>
    <w:sectPr w:rsidR="00034569" w:rsidSect="00D65B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04B8F"/>
    <w:multiLevelType w:val="hybridMultilevel"/>
    <w:tmpl w:val="2F3EE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E15F42"/>
    <w:multiLevelType w:val="hybridMultilevel"/>
    <w:tmpl w:val="46F45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1866D4"/>
    <w:multiLevelType w:val="hybridMultilevel"/>
    <w:tmpl w:val="FB6CE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2B05"/>
    <w:rsid w:val="00017016"/>
    <w:rsid w:val="00034569"/>
    <w:rsid w:val="000A0EF6"/>
    <w:rsid w:val="00136288"/>
    <w:rsid w:val="00283C0A"/>
    <w:rsid w:val="00285BD3"/>
    <w:rsid w:val="00326E6C"/>
    <w:rsid w:val="00337492"/>
    <w:rsid w:val="004A7141"/>
    <w:rsid w:val="006C1CBC"/>
    <w:rsid w:val="00742B05"/>
    <w:rsid w:val="007C71DA"/>
    <w:rsid w:val="00826E68"/>
    <w:rsid w:val="00934E53"/>
    <w:rsid w:val="00A878D7"/>
    <w:rsid w:val="00AE0E31"/>
    <w:rsid w:val="00B57FAB"/>
    <w:rsid w:val="00BC2EBC"/>
    <w:rsid w:val="00D65B1B"/>
    <w:rsid w:val="00DE6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7030a0"/>
    </o:shapedefaults>
    <o:shapelayout v:ext="edit">
      <o:idmap v:ext="edit" data="1"/>
      <o:rules v:ext="edit">
        <o:r id="V:Rule7" type="connector" idref="#_x0000_s1032"/>
        <o:r id="V:Rule8" type="connector" idref="#_x0000_s1037"/>
        <o:r id="V:Rule9" type="connector" idref="#_x0000_s1035"/>
        <o:r id="V:Rule10" type="connector" idref="#_x0000_s1036"/>
        <o:r id="V:Rule11" type="connector" idref="#_x0000_s1034"/>
        <o:r id="V:Rule1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B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B05"/>
    <w:pPr>
      <w:ind w:left="720"/>
      <w:contextualSpacing/>
    </w:pPr>
  </w:style>
  <w:style w:type="paragraph" w:styleId="BalloonText">
    <w:name w:val="Balloon Text"/>
    <w:basedOn w:val="Normal"/>
    <w:link w:val="BalloonTextChar"/>
    <w:uiPriority w:val="99"/>
    <w:semiHidden/>
    <w:unhideWhenUsed/>
    <w:rsid w:val="00934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E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08720-2808-4EE7-9021-6E981C017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3</cp:revision>
  <dcterms:created xsi:type="dcterms:W3CDTF">2012-02-08T05:56:00Z</dcterms:created>
  <dcterms:modified xsi:type="dcterms:W3CDTF">2012-02-08T21:31:00Z</dcterms:modified>
</cp:coreProperties>
</file>